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C690A" w14:textId="5532B618" w:rsidR="00A52704" w:rsidRDefault="00464A26">
      <w:pPr>
        <w:widowControl w:val="0"/>
        <w:tabs>
          <w:tab w:val="right" w:pos="9639"/>
        </w:tabs>
        <w:rPr>
          <w:b/>
          <w:bCs/>
          <w:sz w:val="24"/>
          <w:szCs w:val="24"/>
          <w:lang w:eastAsia="ja-JP"/>
        </w:rPr>
      </w:pPr>
      <w:r>
        <w:rPr>
          <w:b/>
          <w:bCs/>
          <w:sz w:val="24"/>
          <w:szCs w:val="24"/>
          <w:lang w:eastAsia="ja-JP"/>
        </w:rPr>
        <w:t>3GPP TSG-RAN WG2 Meeting #109 electronic</w:t>
      </w:r>
      <w:r>
        <w:rPr>
          <w:b/>
          <w:bCs/>
          <w:sz w:val="24"/>
          <w:szCs w:val="24"/>
          <w:lang w:eastAsia="ja-JP"/>
        </w:rPr>
        <w:tab/>
        <w:t xml:space="preserve"> R2-200</w:t>
      </w:r>
      <w:r w:rsidR="00152392">
        <w:rPr>
          <w:b/>
          <w:bCs/>
          <w:sz w:val="24"/>
          <w:szCs w:val="24"/>
          <w:lang w:eastAsia="ja-JP"/>
        </w:rPr>
        <w:t>2273</w:t>
      </w:r>
    </w:p>
    <w:p w14:paraId="0DA66B25" w14:textId="77777777" w:rsidR="00A52704" w:rsidRDefault="00464A26">
      <w:pPr>
        <w:widowControl w:val="0"/>
        <w:tabs>
          <w:tab w:val="right" w:pos="9639"/>
        </w:tabs>
        <w:rPr>
          <w:b/>
          <w:bCs/>
          <w:sz w:val="24"/>
          <w:szCs w:val="24"/>
          <w:lang w:eastAsia="ja-JP"/>
        </w:rPr>
      </w:pPr>
      <w:r>
        <w:rPr>
          <w:rFonts w:cs="Arial"/>
          <w:b/>
          <w:sz w:val="24"/>
          <w:lang w:val="de-DE"/>
        </w:rPr>
        <w:t>24 Feb – 6 Mar 202</w:t>
      </w:r>
      <w:r>
        <w:rPr>
          <w:b/>
          <w:bCs/>
          <w:sz w:val="24"/>
          <w:szCs w:val="24"/>
          <w:lang w:eastAsia="ja-JP"/>
        </w:rPr>
        <w:t>0</w:t>
      </w:r>
    </w:p>
    <w:p w14:paraId="44691AFF" w14:textId="77777777" w:rsidR="00A52704" w:rsidRDefault="00A52704">
      <w:pPr>
        <w:pStyle w:val="3GPPHeader"/>
      </w:pPr>
    </w:p>
    <w:p w14:paraId="0F3D7717" w14:textId="33945F40" w:rsidR="00A52704" w:rsidRDefault="00464A26">
      <w:pPr>
        <w:pStyle w:val="3GPPHeader"/>
        <w:rPr>
          <w:sz w:val="22"/>
          <w:szCs w:val="22"/>
        </w:rPr>
      </w:pPr>
      <w:r>
        <w:rPr>
          <w:sz w:val="22"/>
          <w:szCs w:val="22"/>
        </w:rPr>
        <w:t>Agenda Item:</w:t>
      </w:r>
      <w:r>
        <w:rPr>
          <w:sz w:val="22"/>
          <w:szCs w:val="22"/>
        </w:rPr>
        <w:tab/>
      </w:r>
      <w:r w:rsidR="00152392">
        <w:rPr>
          <w:sz w:val="22"/>
          <w:szCs w:val="22"/>
        </w:rPr>
        <w:t>6.20.3.1</w:t>
      </w:r>
      <w:bookmarkStart w:id="0" w:name="_GoBack"/>
      <w:bookmarkEnd w:id="0"/>
    </w:p>
    <w:p w14:paraId="440E67A6" w14:textId="77777777" w:rsidR="00A52704" w:rsidRDefault="00464A26">
      <w:pPr>
        <w:pStyle w:val="3GPPHeader"/>
        <w:rPr>
          <w:sz w:val="22"/>
          <w:szCs w:val="22"/>
        </w:rPr>
      </w:pPr>
      <w:r>
        <w:rPr>
          <w:sz w:val="22"/>
          <w:szCs w:val="22"/>
        </w:rPr>
        <w:t>Source:</w:t>
      </w:r>
      <w:r>
        <w:rPr>
          <w:sz w:val="22"/>
          <w:szCs w:val="22"/>
        </w:rPr>
        <w:tab/>
        <w:t>Rapporteur</w:t>
      </w:r>
    </w:p>
    <w:p w14:paraId="77AB3147" w14:textId="77777777" w:rsidR="00A52704" w:rsidRDefault="00464A26">
      <w:pPr>
        <w:pStyle w:val="3GPPHeader"/>
        <w:ind w:left="1695" w:hanging="1695"/>
        <w:rPr>
          <w:sz w:val="22"/>
          <w:szCs w:val="22"/>
        </w:rPr>
      </w:pPr>
      <w:r>
        <w:rPr>
          <w:sz w:val="22"/>
          <w:szCs w:val="22"/>
        </w:rPr>
        <w:t>Title:</w:t>
      </w:r>
      <w:r>
        <w:rPr>
          <w:sz w:val="22"/>
          <w:szCs w:val="22"/>
        </w:rPr>
        <w:tab/>
        <w:t>Summary of [AT109e][058][TEI16] Downgraded configuration SRS antenna switching (Intel OPPO)</w:t>
      </w:r>
    </w:p>
    <w:p w14:paraId="7D8E7929" w14:textId="77777777" w:rsidR="00A52704" w:rsidRDefault="00464A26">
      <w:pPr>
        <w:pStyle w:val="3GPPHeader"/>
        <w:rPr>
          <w:sz w:val="22"/>
          <w:szCs w:val="22"/>
        </w:rPr>
      </w:pPr>
      <w:r>
        <w:rPr>
          <w:sz w:val="22"/>
          <w:szCs w:val="22"/>
        </w:rPr>
        <w:t>Document for:</w:t>
      </w:r>
      <w:r>
        <w:rPr>
          <w:sz w:val="22"/>
          <w:szCs w:val="22"/>
        </w:rPr>
        <w:tab/>
        <w:t>Discussion, Decision</w:t>
      </w:r>
    </w:p>
    <w:p w14:paraId="5DCB0A36" w14:textId="77777777" w:rsidR="00A52704" w:rsidRDefault="00A52704"/>
    <w:p w14:paraId="51539E3F" w14:textId="77777777" w:rsidR="00A52704" w:rsidRDefault="00464A26">
      <w:pPr>
        <w:pStyle w:val="1"/>
      </w:pPr>
      <w:bookmarkStart w:id="1" w:name="_Ref488331639"/>
      <w:r>
        <w:t>Introduction</w:t>
      </w:r>
      <w:bookmarkEnd w:id="1"/>
    </w:p>
    <w:p w14:paraId="0FEAAE8E" w14:textId="77777777" w:rsidR="00A52704" w:rsidRDefault="00464A26">
      <w:pPr>
        <w:pStyle w:val="af1"/>
        <w:spacing w:before="120"/>
        <w:rPr>
          <w:rFonts w:cs="Arial"/>
        </w:rPr>
      </w:pPr>
      <w:r>
        <w:rPr>
          <w:rFonts w:cs="Arial" w:hint="eastAsia"/>
        </w:rPr>
        <w:t>T</w:t>
      </w:r>
      <w:r>
        <w:rPr>
          <w:rFonts w:cs="Arial"/>
        </w:rPr>
        <w:t xml:space="preserve">riggered by the LS from RAN1 </w:t>
      </w:r>
      <w:r>
        <w:rPr>
          <w:rFonts w:cs="Arial"/>
        </w:rPr>
        <w:fldChar w:fldCharType="begin"/>
      </w:r>
      <w:r>
        <w:rPr>
          <w:rFonts w:cs="Arial"/>
        </w:rPr>
        <w:instrText xml:space="preserve"> REF _Ref33476656 \r \h </w:instrText>
      </w:r>
      <w:r>
        <w:rPr>
          <w:rFonts w:cs="Arial"/>
        </w:rPr>
      </w:r>
      <w:r>
        <w:rPr>
          <w:rFonts w:cs="Arial"/>
        </w:rPr>
        <w:fldChar w:fldCharType="separate"/>
      </w:r>
      <w:r>
        <w:rPr>
          <w:rFonts w:cs="Arial"/>
        </w:rPr>
        <w:t>[8]</w:t>
      </w:r>
      <w:r>
        <w:rPr>
          <w:rFonts w:cs="Arial"/>
        </w:rPr>
        <w:fldChar w:fldCharType="end"/>
      </w:r>
      <w:r>
        <w:rPr>
          <w:rFonts w:cs="Arial"/>
        </w:rPr>
        <w:t>.</w:t>
      </w:r>
    </w:p>
    <w:p w14:paraId="393744FE" w14:textId="77777777" w:rsidR="00A52704" w:rsidRDefault="00464A26">
      <w:pPr>
        <w:rPr>
          <w:rFonts w:eastAsia="MS Mincho" w:cs="Arial"/>
          <w:i/>
          <w:iCs/>
          <w:sz w:val="18"/>
          <w:szCs w:val="18"/>
          <w:lang w:eastAsia="ja-JP"/>
        </w:rPr>
      </w:pPr>
      <w:r>
        <w:rPr>
          <w:rFonts w:eastAsia="MS Mincho" w:cs="Arial" w:hint="eastAsia"/>
          <w:i/>
          <w:iCs/>
          <w:sz w:val="18"/>
          <w:szCs w:val="18"/>
          <w:lang w:eastAsia="ja-JP"/>
        </w:rPr>
        <w:t>R</w:t>
      </w:r>
      <w:r>
        <w:rPr>
          <w:rFonts w:eastAsia="MS Mincho" w:cs="Arial"/>
          <w:i/>
          <w:iCs/>
          <w:sz w:val="18"/>
          <w:szCs w:val="18"/>
          <w:lang w:eastAsia="ja-JP"/>
        </w:rPr>
        <w:t>AN1 discussed on a TEI proposal regarding downgrading configuration of SRS for antenna switching, and RAN1 made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52704" w14:paraId="1F03E936" w14:textId="77777777">
        <w:tc>
          <w:tcPr>
            <w:tcW w:w="9855" w:type="dxa"/>
          </w:tcPr>
          <w:p w14:paraId="185EA216" w14:textId="77777777" w:rsidR="00A52704" w:rsidRDefault="00464A26">
            <w:pPr>
              <w:rPr>
                <w:rFonts w:ascii="Times" w:eastAsia="Batang" w:hAnsi="Times"/>
                <w:i/>
                <w:iCs/>
                <w:szCs w:val="24"/>
              </w:rPr>
            </w:pPr>
            <w:r>
              <w:rPr>
                <w:rFonts w:ascii="Times" w:eastAsia="Batang" w:hAnsi="Times"/>
                <w:i/>
                <w:iCs/>
                <w:szCs w:val="24"/>
                <w:highlight w:val="green"/>
              </w:rPr>
              <w:t>Agreement:</w:t>
            </w:r>
          </w:p>
          <w:p w14:paraId="017CE95B" w14:textId="77777777" w:rsidR="00A52704" w:rsidRDefault="00464A26">
            <w:pPr>
              <w:rPr>
                <w:rFonts w:ascii="Times" w:eastAsia="MS Mincho" w:hAnsi="Times"/>
                <w:i/>
                <w:iCs/>
              </w:rPr>
            </w:pPr>
            <w:r>
              <w:rPr>
                <w:rFonts w:ascii="Times" w:eastAsia="MS Mincho" w:hAnsi="Times"/>
                <w:i/>
                <w:iCs/>
              </w:rPr>
              <w:t>Regarding TEI “Enable gNB to configure downgrading configuration of SRS for antenna switching”</w:t>
            </w:r>
          </w:p>
          <w:p w14:paraId="301106DA" w14:textId="77777777" w:rsidR="00A52704" w:rsidRDefault="00464A26">
            <w:pPr>
              <w:numPr>
                <w:ilvl w:val="0"/>
                <w:numId w:val="10"/>
              </w:numPr>
              <w:overflowPunct/>
              <w:autoSpaceDE/>
              <w:autoSpaceDN/>
              <w:adjustRightInd/>
              <w:spacing w:after="0"/>
              <w:jc w:val="left"/>
              <w:textAlignment w:val="auto"/>
              <w:rPr>
                <w:rFonts w:ascii="Times" w:eastAsia="MS Mincho" w:hAnsi="Times"/>
                <w:bCs/>
                <w:i/>
                <w:iCs/>
                <w:lang w:val="en-US"/>
              </w:rPr>
            </w:pPr>
            <w:r>
              <w:rPr>
                <w:rFonts w:ascii="Times" w:eastAsia="Batang" w:hAnsi="Times" w:hint="eastAsia"/>
                <w:bCs/>
                <w:i/>
                <w:iCs/>
              </w:rPr>
              <w:t>Rel-16 UE capability design</w:t>
            </w:r>
            <w:r>
              <w:rPr>
                <w:rFonts w:ascii="Times" w:eastAsia="Batang" w:hAnsi="Times"/>
                <w:bCs/>
                <w:i/>
                <w:iCs/>
              </w:rPr>
              <w:t xml:space="preserve"> for SRS antenna switching</w:t>
            </w:r>
            <w:r>
              <w:rPr>
                <w:rFonts w:ascii="Times" w:eastAsia="Batang" w:hAnsi="Times" w:hint="eastAsia"/>
                <w:bCs/>
                <w:i/>
                <w:iCs/>
              </w:rPr>
              <w:t xml:space="preserve"> in conjunction with the existing Rel-15 UE capability should allow UE to indicate support of one of the following combinations </w:t>
            </w:r>
          </w:p>
          <w:p w14:paraId="184094EB"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hint="eastAsia"/>
                <w:bCs/>
                <w:i/>
                <w:iCs/>
              </w:rPr>
              <w:t>{t1r1, t1r2}</w:t>
            </w:r>
          </w:p>
          <w:p w14:paraId="009DB170"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hint="eastAsia"/>
                <w:bCs/>
                <w:i/>
                <w:iCs/>
              </w:rPr>
              <w:t>{t1r1, t1r2, t1r4}</w:t>
            </w:r>
          </w:p>
          <w:p w14:paraId="3CACB80B"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hint="eastAsia"/>
                <w:bCs/>
                <w:i/>
                <w:iCs/>
              </w:rPr>
              <w:t>{t1r1, t1r2, t2r2, t2r4}</w:t>
            </w:r>
          </w:p>
          <w:p w14:paraId="491D4F7B"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hint="eastAsia"/>
                <w:bCs/>
                <w:i/>
                <w:iCs/>
              </w:rPr>
              <w:t>{t1r1, t2r2}</w:t>
            </w:r>
          </w:p>
          <w:p w14:paraId="047F0857"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hint="eastAsia"/>
                <w:bCs/>
                <w:i/>
                <w:iCs/>
              </w:rPr>
              <w:t>{t1r1, t2r2, t4r4}</w:t>
            </w:r>
          </w:p>
          <w:p w14:paraId="186F9F3D"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hint="eastAsia"/>
                <w:i/>
                <w:iCs/>
              </w:rPr>
              <w:t>{</w:t>
            </w:r>
            <w:r>
              <w:rPr>
                <w:rFonts w:ascii="Times" w:eastAsia="Batang" w:hAnsi="Times" w:hint="eastAsia"/>
                <w:bCs/>
                <w:i/>
                <w:iCs/>
              </w:rPr>
              <w:t>t1r1, t1r2, t2r2, t1r4, t2r4</w:t>
            </w:r>
            <w:r>
              <w:rPr>
                <w:rFonts w:ascii="Times" w:eastAsia="Batang" w:hAnsi="Times" w:hint="eastAsia"/>
                <w:i/>
                <w:iCs/>
              </w:rPr>
              <w:t>}</w:t>
            </w:r>
          </w:p>
          <w:p w14:paraId="0D3CB264" w14:textId="77777777" w:rsidR="00A52704" w:rsidRDefault="00464A26">
            <w:pPr>
              <w:numPr>
                <w:ilvl w:val="1"/>
                <w:numId w:val="11"/>
              </w:numPr>
              <w:overflowPunct/>
              <w:autoSpaceDE/>
              <w:autoSpaceDN/>
              <w:adjustRightInd/>
              <w:spacing w:after="0"/>
              <w:textAlignment w:val="auto"/>
              <w:rPr>
                <w:rFonts w:ascii="Times" w:eastAsia="Batang" w:hAnsi="Times"/>
                <w:bCs/>
                <w:i/>
                <w:iCs/>
              </w:rPr>
            </w:pPr>
            <w:r>
              <w:rPr>
                <w:rFonts w:ascii="Times" w:eastAsia="Batang" w:hAnsi="Times"/>
                <w:i/>
                <w:iCs/>
              </w:rPr>
              <w:t xml:space="preserve">Note: </w:t>
            </w:r>
            <w:r>
              <w:rPr>
                <w:rFonts w:ascii="Times" w:eastAsia="Batang" w:hAnsi="Times" w:hint="eastAsia"/>
                <w:bCs/>
                <w:i/>
                <w:iCs/>
              </w:rPr>
              <w:t>Detailed signaling design is up to RAN2</w:t>
            </w:r>
          </w:p>
          <w:p w14:paraId="6C9467E3" w14:textId="77777777" w:rsidR="00A52704" w:rsidRDefault="00464A26">
            <w:pPr>
              <w:numPr>
                <w:ilvl w:val="0"/>
                <w:numId w:val="10"/>
              </w:numPr>
              <w:overflowPunct/>
              <w:autoSpaceDE/>
              <w:autoSpaceDN/>
              <w:adjustRightInd/>
              <w:spacing w:after="0"/>
              <w:jc w:val="left"/>
              <w:textAlignment w:val="auto"/>
              <w:rPr>
                <w:rFonts w:ascii="Times" w:eastAsia="MS Mincho" w:hAnsi="Times"/>
                <w:i/>
                <w:iCs/>
              </w:rPr>
            </w:pPr>
            <w:r>
              <w:rPr>
                <w:rFonts w:ascii="Times" w:eastAsia="MS Mincho" w:hAnsi="Times"/>
                <w:i/>
                <w:iCs/>
              </w:rPr>
              <w:t xml:space="preserve">The </w:t>
            </w:r>
            <w:r>
              <w:rPr>
                <w:rFonts w:ascii="Times" w:eastAsia="MS Mincho" w:hAnsi="Times" w:hint="eastAsia"/>
                <w:i/>
                <w:iCs/>
              </w:rPr>
              <w:t xml:space="preserve">TP in </w:t>
            </w:r>
            <w:r>
              <w:rPr>
                <w:rFonts w:ascii="Times" w:eastAsia="MS Mincho" w:hAnsi="Times"/>
                <w:i/>
                <w:iCs/>
              </w:rPr>
              <w:t>R1-1913445 is endorsed in principle</w:t>
            </w:r>
          </w:p>
          <w:p w14:paraId="14626D33" w14:textId="77777777" w:rsidR="00A52704" w:rsidRDefault="00464A26">
            <w:pPr>
              <w:numPr>
                <w:ilvl w:val="1"/>
                <w:numId w:val="11"/>
              </w:numPr>
              <w:overflowPunct/>
              <w:autoSpaceDE/>
              <w:autoSpaceDN/>
              <w:adjustRightInd/>
              <w:spacing w:after="0"/>
              <w:textAlignment w:val="auto"/>
              <w:rPr>
                <w:rFonts w:ascii="Times" w:eastAsia="Batang" w:hAnsi="Times"/>
                <w:bCs/>
                <w:iCs/>
              </w:rPr>
            </w:pPr>
            <w:r>
              <w:rPr>
                <w:rFonts w:ascii="Times" w:eastAsia="Batang" w:hAnsi="Times"/>
                <w:bCs/>
                <w:i/>
                <w:iCs/>
              </w:rPr>
              <w:t>Note: RAN1 spec can be further updated depending on the final RAN2 signalling design</w:t>
            </w:r>
          </w:p>
        </w:tc>
      </w:tr>
    </w:tbl>
    <w:p w14:paraId="7416927B" w14:textId="77777777" w:rsidR="00A52704" w:rsidRDefault="00464A26">
      <w:pPr>
        <w:pStyle w:val="af1"/>
        <w:spacing w:before="120"/>
      </w:pPr>
      <w:r>
        <w:rPr>
          <w:rFonts w:cs="Arial"/>
        </w:rPr>
        <w:t>In this contribution, we discuss some left issues for down-graded configuration for SRS antenna switching</w:t>
      </w:r>
      <w:r>
        <w:t xml:space="preserve">, based on the contribution </w:t>
      </w:r>
      <w:r>
        <w:fldChar w:fldCharType="begin"/>
      </w:r>
      <w:r>
        <w:instrText xml:space="preserve"> REF _Ref33473290 \r \h </w:instrText>
      </w:r>
      <w:r>
        <w:fldChar w:fldCharType="separate"/>
      </w:r>
      <w:r>
        <w:t>[1]</w:t>
      </w:r>
      <w:r>
        <w:fldChar w:fldCharType="end"/>
      </w:r>
      <w:r>
        <w:t>-</w:t>
      </w:r>
      <w:r>
        <w:fldChar w:fldCharType="begin"/>
      </w:r>
      <w:r>
        <w:instrText xml:space="preserve"> REF _Ref33473292 \r \h </w:instrText>
      </w:r>
      <w:r>
        <w:fldChar w:fldCharType="separate"/>
      </w:r>
      <w:r>
        <w:t>[7]</w:t>
      </w:r>
      <w:r>
        <w:fldChar w:fldCharType="end"/>
      </w:r>
      <w:r>
        <w:t>.</w:t>
      </w:r>
    </w:p>
    <w:p w14:paraId="20FE7F08" w14:textId="77777777" w:rsidR="00A52704" w:rsidRDefault="00464A26">
      <w:pPr>
        <w:pStyle w:val="1"/>
        <w:jc w:val="both"/>
      </w:pPr>
      <w:bookmarkStart w:id="2" w:name="_Ref178064866"/>
      <w:r>
        <w:t>Discussion</w:t>
      </w:r>
      <w:bookmarkEnd w:id="2"/>
    </w:p>
    <w:p w14:paraId="5E5C239B" w14:textId="77777777" w:rsidR="00A52704" w:rsidRDefault="00464A26">
      <w:pPr>
        <w:pStyle w:val="2"/>
      </w:pPr>
      <w:r>
        <w:rPr>
          <w:rFonts w:hint="eastAsia"/>
        </w:rPr>
        <w:t>I</w:t>
      </w:r>
      <w:r>
        <w:t>ssue-1: How to address the issue of SRS pattern matching between R15 IE and R16 IE</w:t>
      </w:r>
    </w:p>
    <w:p w14:paraId="0FCED903" w14:textId="77777777" w:rsidR="00A52704" w:rsidRDefault="00464A26">
      <w:r>
        <w:rPr>
          <w:rFonts w:hint="eastAsia"/>
        </w:rPr>
        <w:t>A</w:t>
      </w:r>
      <w:r>
        <w:t xml:space="preserve">s noted by both the proposal from OPPO </w:t>
      </w:r>
      <w:r>
        <w:fldChar w:fldCharType="begin"/>
      </w:r>
      <w:r>
        <w:instrText xml:space="preserve"> REF _Ref33473679 \r \h </w:instrText>
      </w:r>
      <w:r>
        <w:fldChar w:fldCharType="separate"/>
      </w:r>
      <w:r>
        <w:t>[1]</w:t>
      </w:r>
      <w:r>
        <w:fldChar w:fldCharType="end"/>
      </w:r>
      <w:r>
        <w:fldChar w:fldCharType="begin"/>
      </w:r>
      <w:r>
        <w:instrText xml:space="preserve"> REF _Ref33473292 \r \h </w:instrText>
      </w:r>
      <w:r>
        <w:fldChar w:fldCharType="separate"/>
      </w:r>
      <w:r>
        <w:t>[2]</w:t>
      </w:r>
      <w:r>
        <w:fldChar w:fldCharType="end"/>
      </w:r>
      <w:r>
        <w:t xml:space="preserve"> and Intel </w:t>
      </w:r>
      <w:r>
        <w:fldChar w:fldCharType="begin"/>
      </w:r>
      <w:r>
        <w:instrText xml:space="preserve"> REF _Ref33473690 \r \h </w:instrText>
      </w:r>
      <w:r>
        <w:fldChar w:fldCharType="separate"/>
      </w:r>
      <w:r>
        <w:t>[3]</w:t>
      </w:r>
      <w:r>
        <w:fldChar w:fldCharType="end"/>
      </w:r>
      <w:r>
        <w:t>-</w:t>
      </w:r>
      <w:r>
        <w:fldChar w:fldCharType="begin"/>
      </w:r>
      <w:r>
        <w:instrText xml:space="preserve"> REF _Ref33473691 \r \h </w:instrText>
      </w:r>
      <w:r>
        <w:fldChar w:fldCharType="separate"/>
      </w:r>
      <w:r>
        <w:t>[7]</w:t>
      </w:r>
      <w:r>
        <w:fldChar w:fldCharType="end"/>
      </w:r>
      <w:r>
        <w:t>, there should be coupling of reporting via R16 IE on down-grading SRS Tx switching pattern and the legacy R15 IE on SRS Tx switching pattern. There are different approaches on how to do this:</w:t>
      </w:r>
    </w:p>
    <w:p w14:paraId="0D680A8E" w14:textId="77777777" w:rsidR="00A52704" w:rsidRDefault="00464A26">
      <w:r>
        <w:rPr>
          <w:rFonts w:hint="eastAsia"/>
          <w:b/>
          <w:bCs/>
        </w:rPr>
        <w:t>A</w:t>
      </w:r>
      <w:r>
        <w:rPr>
          <w:b/>
          <w:bCs/>
        </w:rPr>
        <w:t>pproach-1</w:t>
      </w:r>
      <w:r>
        <w:t xml:space="preserve">: As indicated in OPPO paper </w:t>
      </w:r>
      <w:r>
        <w:fldChar w:fldCharType="begin"/>
      </w:r>
      <w:r>
        <w:instrText xml:space="preserve"> REF _Ref33473679 \r \h </w:instrText>
      </w:r>
      <w:r>
        <w:fldChar w:fldCharType="separate"/>
      </w:r>
      <w:r>
        <w:t>[1]</w:t>
      </w:r>
      <w:r>
        <w:fldChar w:fldCharType="end"/>
      </w:r>
      <w:r>
        <w:fldChar w:fldCharType="begin"/>
      </w:r>
      <w:r>
        <w:instrText xml:space="preserve"> REF _Ref33473292 \r \h </w:instrText>
      </w:r>
      <w:r>
        <w:fldChar w:fldCharType="separate"/>
      </w:r>
      <w:r>
        <w:t>[2]</w:t>
      </w:r>
      <w:r>
        <w:fldChar w:fldCharType="end"/>
      </w:r>
      <w:r>
        <w:t xml:space="preserve"> and Intel paper (Alt-1) </w:t>
      </w:r>
      <w:r>
        <w:fldChar w:fldCharType="begin"/>
      </w:r>
      <w:r>
        <w:instrText xml:space="preserve"> REF _Ref33473347 \r \h </w:instrText>
      </w:r>
      <w:r>
        <w:fldChar w:fldCharType="separate"/>
      </w:r>
      <w:r>
        <w:t>[4]</w:t>
      </w:r>
      <w:r>
        <w:fldChar w:fldCharType="end"/>
      </w:r>
      <w:r>
        <w:fldChar w:fldCharType="begin"/>
      </w:r>
      <w:r>
        <w:instrText xml:space="preserve"> REF _Ref33473360 \r \h </w:instrText>
      </w:r>
      <w:r>
        <w:fldChar w:fldCharType="separate"/>
      </w:r>
      <w:r>
        <w:t>[5]</w:t>
      </w:r>
      <w:r>
        <w:fldChar w:fldCharType="end"/>
      </w:r>
      <w:r>
        <w:t>, on the one hand, the code-points for the pattern are used in 38.331, exactly as included in the incoming LS and implemented in RAN1 CR, as follows</w:t>
      </w:r>
    </w:p>
    <w:p w14:paraId="6B69A17B"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en-GB"/>
        </w:rPr>
      </w:pPr>
      <w:r>
        <w:rPr>
          <w:rFonts w:ascii="Courier New" w:eastAsia="Times New Roman" w:hAnsi="Courier New"/>
          <w:sz w:val="16"/>
          <w:lang w:val="en-US" w:eastAsia="en-GB"/>
        </w:rPr>
        <w:t xml:space="preserve">BandParameters-v16xy ::=            </w:t>
      </w:r>
      <w:r>
        <w:rPr>
          <w:rFonts w:ascii="Courier New" w:eastAsia="Times New Roman" w:hAnsi="Courier New"/>
          <w:color w:val="993366"/>
          <w:sz w:val="16"/>
          <w:lang w:val="en-US" w:eastAsia="en-GB"/>
        </w:rPr>
        <w:t>SEQUENCE</w:t>
      </w:r>
      <w:r>
        <w:rPr>
          <w:rFonts w:ascii="Courier New" w:eastAsia="Times New Roman" w:hAnsi="Courier New"/>
          <w:sz w:val="16"/>
          <w:lang w:val="en-US" w:eastAsia="en-GB"/>
        </w:rPr>
        <w:t xml:space="preserve"> {</w:t>
      </w:r>
    </w:p>
    <w:p w14:paraId="4E64D8DB"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val="en-US" w:eastAsia="en-GB"/>
        </w:rPr>
      </w:pPr>
      <w:r>
        <w:rPr>
          <w:rFonts w:ascii="Courier New" w:eastAsia="Times New Roman" w:hAnsi="Courier New"/>
          <w:sz w:val="16"/>
          <w:lang w:val="en-US" w:eastAsia="en-GB"/>
        </w:rPr>
        <w:t xml:space="preserve">srs-TxSwitch                    </w:t>
      </w:r>
      <w:r>
        <w:rPr>
          <w:rFonts w:ascii="Courier New" w:eastAsia="Times New Roman" w:hAnsi="Courier New"/>
          <w:color w:val="993366"/>
          <w:sz w:val="16"/>
          <w:lang w:val="en-US" w:eastAsia="en-GB"/>
        </w:rPr>
        <w:t>SEQUENCE</w:t>
      </w:r>
      <w:r>
        <w:rPr>
          <w:rFonts w:ascii="Courier New" w:eastAsia="Times New Roman" w:hAnsi="Courier New"/>
          <w:sz w:val="16"/>
          <w:lang w:val="en-US" w:eastAsia="en-GB"/>
        </w:rPr>
        <w:t xml:space="preserve"> {</w:t>
      </w:r>
    </w:p>
    <w:p w14:paraId="0DE01610"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en-GB"/>
        </w:rPr>
      </w:pPr>
      <w:r>
        <w:rPr>
          <w:rFonts w:ascii="Courier New" w:eastAsia="Times New Roman" w:hAnsi="Courier New"/>
          <w:sz w:val="16"/>
          <w:lang w:val="en-US" w:eastAsia="en-GB"/>
        </w:rPr>
        <w:t xml:space="preserve">        supportedSRS-TxPortSwitch-v16xy     </w:t>
      </w:r>
      <w:r>
        <w:rPr>
          <w:rFonts w:ascii="Courier New" w:eastAsia="Times New Roman" w:hAnsi="Courier New"/>
          <w:color w:val="993366"/>
          <w:sz w:val="16"/>
          <w:lang w:val="en-US" w:eastAsia="en-GB"/>
        </w:rPr>
        <w:t>ENUMERATED</w:t>
      </w:r>
      <w:r>
        <w:rPr>
          <w:rFonts w:ascii="Courier New" w:eastAsia="Times New Roman" w:hAnsi="Courier New"/>
          <w:sz w:val="16"/>
          <w:lang w:val="en-US" w:eastAsia="en-GB"/>
        </w:rPr>
        <w:t xml:space="preserve"> {t1r1-t1r2, t1r1-t1r2-t1r4, t1r1-t1r2-t2r2-t2r4, t1r1-t1r2-t2r2-t1r4-t2r4, </w:t>
      </w:r>
    </w:p>
    <w:p w14:paraId="68BB28BF"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en-GB"/>
        </w:rPr>
      </w:pP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t>t1r1-t2r2, t1r1-t2r2-t4r4}</w:t>
      </w:r>
    </w:p>
    <w:p w14:paraId="6F17056B"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val="en-US" w:eastAsia="en-GB"/>
        </w:rPr>
      </w:pPr>
      <w:r>
        <w:rPr>
          <w:rFonts w:ascii="Courier New" w:eastAsia="Times New Roman" w:hAnsi="Courier New"/>
          <w:sz w:val="16"/>
          <w:lang w:val="en-US" w:eastAsia="en-GB"/>
        </w:rPr>
        <w:t xml:space="preserve">}                                                                              </w:t>
      </w:r>
      <w:r>
        <w:rPr>
          <w:rFonts w:ascii="Courier New" w:eastAsia="Times New Roman" w:hAnsi="Courier New"/>
          <w:color w:val="993366"/>
          <w:sz w:val="16"/>
          <w:lang w:val="en-US" w:eastAsia="en-GB"/>
        </w:rPr>
        <w:t>OPTIONAL</w:t>
      </w:r>
    </w:p>
    <w:p w14:paraId="6137D880" w14:textId="77777777" w:rsidR="00A52704" w:rsidRDefault="00464A26">
      <w:pPr>
        <w:spacing w:beforeLines="50" w:before="120"/>
      </w:pPr>
      <w:r>
        <w:rPr>
          <w:rFonts w:hint="eastAsia"/>
        </w:rPr>
        <w:lastRenderedPageBreak/>
        <w:t>O</w:t>
      </w:r>
      <w:r>
        <w:t>n the other hand, some restriction needs to be added into 38.306, to indicate the coupling between R15 IE and R16 IE.</w:t>
      </w:r>
    </w:p>
    <w:p w14:paraId="36797F71" w14:textId="77777777" w:rsidR="00A52704" w:rsidRDefault="00464A26">
      <w:pPr>
        <w:spacing w:beforeLines="50" w:before="120"/>
      </w:pPr>
      <w:r>
        <w:rPr>
          <w:rFonts w:hint="eastAsia"/>
        </w:rPr>
        <w:t>A</w:t>
      </w:r>
      <w:r>
        <w:t xml:space="preserve">pproach-1A, either as some text as indicated in OPPO </w:t>
      </w:r>
      <w:r>
        <w:fldChar w:fldCharType="begin"/>
      </w:r>
      <w:r>
        <w:instrText xml:space="preserve"> REF _Ref33473679 \r \h </w:instrText>
      </w:r>
      <w:r>
        <w:fldChar w:fldCharType="separate"/>
      </w:r>
      <w:r>
        <w:t>[1]</w:t>
      </w:r>
      <w:r>
        <w:fldChar w:fldCharType="end"/>
      </w:r>
      <w:r>
        <w:fldChar w:fldCharType="begin"/>
      </w:r>
      <w:r>
        <w:instrText xml:space="preserve"> REF _Ref33473292 \r \h </w:instrText>
      </w:r>
      <w:r>
        <w:fldChar w:fldCharType="separate"/>
      </w:r>
      <w:r>
        <w:t>[2]</w:t>
      </w:r>
      <w:r>
        <w:fldChar w:fldCharType="end"/>
      </w:r>
    </w:p>
    <w:p w14:paraId="6E1ADCD4" w14:textId="77777777" w:rsidR="00A52704" w:rsidRDefault="00464A26">
      <w:pPr>
        <w:widowControl w:val="0"/>
        <w:overflowPunct/>
        <w:autoSpaceDE/>
        <w:autoSpaceDN/>
        <w:adjustRightInd/>
        <w:spacing w:after="180"/>
        <w:jc w:val="left"/>
        <w:textAlignment w:val="auto"/>
        <w:rPr>
          <w:rFonts w:cs="Arial"/>
          <w:iCs/>
          <w:sz w:val="18"/>
          <w:szCs w:val="18"/>
          <w:lang w:eastAsia="en-US"/>
        </w:rPr>
      </w:pPr>
      <w:r>
        <w:rPr>
          <w:rFonts w:cs="Arial"/>
          <w:sz w:val="18"/>
          <w:szCs w:val="18"/>
          <w:lang w:eastAsia="en-US"/>
        </w:rPr>
        <w:t>-</w:t>
      </w:r>
      <w:r>
        <w:rPr>
          <w:rFonts w:cs="Arial"/>
          <w:sz w:val="18"/>
          <w:szCs w:val="18"/>
          <w:lang w:eastAsia="en-US"/>
        </w:rPr>
        <w:tab/>
      </w:r>
      <w:r>
        <w:rPr>
          <w:rFonts w:cs="Arial"/>
          <w:i/>
          <w:sz w:val="18"/>
          <w:szCs w:val="18"/>
          <w:lang w:eastAsia="en-US"/>
        </w:rPr>
        <w:t>supportedSRS-TxPortSwitch</w:t>
      </w:r>
      <w:r>
        <w:rPr>
          <w:rFonts w:cs="Arial"/>
          <w:sz w:val="18"/>
          <w:szCs w:val="18"/>
          <w:lang w:eastAsia="en-US"/>
        </w:rPr>
        <w:t xml:space="preserve"> indicates SRS Tx port switching pattern supported by the UE, which is mandatory to report. The indicated UE antenna switching capability of ′xTyR′ corresponds to a UE, capable of SRS transmission on ′x′ antenna ports over total of ′y′ antennas, where ′y′ corresponds to all or subset of UE receive antennas, where 2T4R is two pairs of antennas.</w:t>
      </w:r>
      <w:r>
        <w:rPr>
          <w:rFonts w:cs="Arial"/>
          <w:i/>
          <w:sz w:val="18"/>
          <w:szCs w:val="18"/>
          <w:lang w:eastAsia="en-US"/>
        </w:rPr>
        <w:t>supportedSRS-TxPortSwitch-v16xy</w:t>
      </w:r>
      <w:r>
        <w:rPr>
          <w:rFonts w:cs="Arial"/>
          <w:iCs/>
          <w:sz w:val="18"/>
          <w:szCs w:val="18"/>
          <w:lang w:eastAsia="en-US"/>
        </w:rPr>
        <w:t xml:space="preserve"> indicates downgrading SRS Tx port switching pattern supported by the UE, which is optional to report. </w:t>
      </w:r>
      <w:r>
        <w:rPr>
          <w:rFonts w:cs="Arial"/>
          <w:iCs/>
          <w:sz w:val="18"/>
          <w:szCs w:val="18"/>
          <w:highlight w:val="yellow"/>
          <w:lang w:eastAsia="en-US"/>
        </w:rPr>
        <w:t xml:space="preserve">If </w:t>
      </w:r>
      <w:r>
        <w:rPr>
          <w:rFonts w:cs="Arial"/>
          <w:i/>
          <w:sz w:val="18"/>
          <w:szCs w:val="18"/>
          <w:highlight w:val="yellow"/>
          <w:lang w:eastAsia="en-US"/>
        </w:rPr>
        <w:t>supportedSRS-TxPortSwitch-v16xy</w:t>
      </w:r>
      <w:r>
        <w:rPr>
          <w:rFonts w:cs="Arial"/>
          <w:iCs/>
          <w:sz w:val="18"/>
          <w:szCs w:val="18"/>
          <w:highlight w:val="yellow"/>
          <w:lang w:eastAsia="en-US"/>
        </w:rPr>
        <w:t xml:space="preserve"> is reported, the pattern of highest order shall be the same as the pattern reported in </w:t>
      </w:r>
      <w:r>
        <w:rPr>
          <w:rFonts w:cs="Arial"/>
          <w:i/>
          <w:sz w:val="18"/>
          <w:szCs w:val="18"/>
          <w:highlight w:val="yellow"/>
          <w:lang w:eastAsia="en-US"/>
        </w:rPr>
        <w:t>supportedSRS-TxPortSwitch</w:t>
      </w:r>
      <w:r>
        <w:rPr>
          <w:rFonts w:cs="Arial"/>
          <w:iCs/>
          <w:sz w:val="18"/>
          <w:szCs w:val="18"/>
          <w:highlight w:val="yellow"/>
          <w:lang w:eastAsia="en-US"/>
        </w:rPr>
        <w:t xml:space="preserve"> (e.g. if </w:t>
      </w:r>
      <w:r>
        <w:rPr>
          <w:rFonts w:cs="Arial"/>
          <w:i/>
          <w:sz w:val="18"/>
          <w:szCs w:val="18"/>
          <w:highlight w:val="yellow"/>
          <w:lang w:eastAsia="en-US"/>
        </w:rPr>
        <w:t>supportedSRS-TxPortSwitch</w:t>
      </w:r>
      <w:r>
        <w:rPr>
          <w:rFonts w:cs="Arial"/>
          <w:iCs/>
          <w:sz w:val="18"/>
          <w:szCs w:val="18"/>
          <w:highlight w:val="yellow"/>
          <w:lang w:eastAsia="en-US"/>
        </w:rPr>
        <w:t xml:space="preserve"> indicates </w:t>
      </w:r>
      <w:r>
        <w:rPr>
          <w:rFonts w:cs="Arial"/>
          <w:i/>
          <w:sz w:val="18"/>
          <w:szCs w:val="18"/>
          <w:highlight w:val="yellow"/>
          <w:lang w:eastAsia="en-US"/>
        </w:rPr>
        <w:t>t1r4-t2r4</w:t>
      </w:r>
      <w:r>
        <w:rPr>
          <w:rFonts w:ascii="Times New Roman" w:hAnsi="Times New Roman"/>
          <w:highlight w:val="yellow"/>
          <w:lang w:eastAsia="en-US"/>
        </w:rPr>
        <w:t xml:space="preserve">, </w:t>
      </w:r>
      <w:r>
        <w:rPr>
          <w:rFonts w:cs="Arial"/>
          <w:i/>
          <w:sz w:val="18"/>
          <w:szCs w:val="18"/>
          <w:highlight w:val="yellow"/>
          <w:lang w:eastAsia="en-US"/>
        </w:rPr>
        <w:t>supportedSRS-TxPortSwitch-v16xy</w:t>
      </w:r>
      <w:r>
        <w:rPr>
          <w:rFonts w:cs="Arial"/>
          <w:iCs/>
          <w:sz w:val="18"/>
          <w:szCs w:val="18"/>
          <w:highlight w:val="yellow"/>
          <w:lang w:eastAsia="en-US"/>
        </w:rPr>
        <w:t xml:space="preserve">, if reported, shall only indicate </w:t>
      </w:r>
      <w:r>
        <w:rPr>
          <w:rFonts w:cs="Arial"/>
          <w:i/>
          <w:sz w:val="18"/>
          <w:szCs w:val="18"/>
          <w:highlight w:val="yellow"/>
          <w:lang w:eastAsia="en-US"/>
        </w:rPr>
        <w:t>t1r1-t1r2-t2r2-t1r4-t2r4</w:t>
      </w:r>
      <w:r>
        <w:rPr>
          <w:rFonts w:cs="Arial"/>
          <w:iCs/>
          <w:sz w:val="18"/>
          <w:szCs w:val="18"/>
          <w:highlight w:val="yellow"/>
          <w:lang w:eastAsia="en-US"/>
        </w:rPr>
        <w:t>);</w:t>
      </w:r>
    </w:p>
    <w:p w14:paraId="1796957F" w14:textId="77777777" w:rsidR="00A52704" w:rsidRDefault="00464A26">
      <w:pPr>
        <w:spacing w:beforeLines="50" w:before="120"/>
      </w:pPr>
      <w:r>
        <w:rPr>
          <w:rFonts w:hint="eastAsia"/>
        </w:rPr>
        <w:t>A</w:t>
      </w:r>
      <w:r>
        <w:t xml:space="preserve">pproach-1B, or as a table as indicated in Intel (Alt-1) </w:t>
      </w:r>
      <w:r>
        <w:fldChar w:fldCharType="begin"/>
      </w:r>
      <w:r>
        <w:instrText xml:space="preserve"> REF _Ref33473347 \r \h </w:instrText>
      </w:r>
      <w:r>
        <w:fldChar w:fldCharType="separate"/>
      </w:r>
      <w:r>
        <w:t>[4]</w:t>
      </w:r>
      <w:r>
        <w:fldChar w:fldCharType="end"/>
      </w:r>
      <w:r>
        <w:fldChar w:fldCharType="begin"/>
      </w:r>
      <w:r>
        <w:instrText xml:space="preserve"> REF _Ref33473360 \r \h </w:instrText>
      </w:r>
      <w:r>
        <w:fldChar w:fldCharType="separate"/>
      </w:r>
      <w:r>
        <w:t>[5]</w:t>
      </w:r>
      <w:r>
        <w:fldChar w:fldCharType="end"/>
      </w:r>
    </w:p>
    <w:p w14:paraId="06F1F2F2" w14:textId="77777777" w:rsidR="00A52704" w:rsidRDefault="00464A26">
      <w:pPr>
        <w:rPr>
          <w:i/>
          <w:iCs/>
          <w:sz w:val="18"/>
          <w:szCs w:val="18"/>
        </w:rPr>
      </w:pPr>
      <w:r>
        <w:rPr>
          <w:i/>
          <w:iCs/>
          <w:sz w:val="18"/>
          <w:szCs w:val="18"/>
        </w:rPr>
        <w:t>If the UE indicates the support of downgrading configuration of SRS for antenna switching using supportedSRS-TxPortSwitch-r16, the UE shall report the values for this as below, based on what is reported in supportedSRS-TxPortSwitch</w:t>
      </w:r>
    </w:p>
    <w:tbl>
      <w:tblPr>
        <w:tblW w:w="0" w:type="auto"/>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8"/>
        <w:gridCol w:w="3653"/>
      </w:tblGrid>
      <w:tr w:rsidR="00A52704" w14:paraId="757D8F17" w14:textId="77777777">
        <w:tc>
          <w:tcPr>
            <w:tcW w:w="3638" w:type="dxa"/>
          </w:tcPr>
          <w:p w14:paraId="0B01DE2C" w14:textId="77777777" w:rsidR="00A52704" w:rsidRDefault="00464A26">
            <w:pPr>
              <w:pStyle w:val="TAH"/>
              <w:rPr>
                <w:iCs/>
                <w:highlight w:val="yellow"/>
              </w:rPr>
            </w:pPr>
            <w:r>
              <w:rPr>
                <w:highlight w:val="yellow"/>
              </w:rPr>
              <w:t>supportedSRS-TxPortSwitch</w:t>
            </w:r>
          </w:p>
        </w:tc>
        <w:tc>
          <w:tcPr>
            <w:tcW w:w="3653" w:type="dxa"/>
          </w:tcPr>
          <w:p w14:paraId="61B4F08F" w14:textId="77777777" w:rsidR="00A52704" w:rsidRDefault="00464A26">
            <w:pPr>
              <w:pStyle w:val="TAH"/>
              <w:rPr>
                <w:iCs/>
                <w:highlight w:val="yellow"/>
              </w:rPr>
            </w:pPr>
            <w:r>
              <w:rPr>
                <w:highlight w:val="yellow"/>
              </w:rPr>
              <w:t>supportedSRS-TxPortSwitch-r16</w:t>
            </w:r>
          </w:p>
        </w:tc>
      </w:tr>
      <w:tr w:rsidR="00A52704" w14:paraId="5C6CB18D" w14:textId="77777777">
        <w:tc>
          <w:tcPr>
            <w:tcW w:w="3638" w:type="dxa"/>
          </w:tcPr>
          <w:p w14:paraId="6CE749D5" w14:textId="77777777" w:rsidR="00A52704" w:rsidRDefault="00464A26">
            <w:pPr>
              <w:pStyle w:val="TAL"/>
              <w:jc w:val="center"/>
              <w:rPr>
                <w:highlight w:val="yellow"/>
              </w:rPr>
            </w:pPr>
            <w:r>
              <w:rPr>
                <w:highlight w:val="yellow"/>
              </w:rPr>
              <w:t>t1r2</w:t>
            </w:r>
          </w:p>
        </w:tc>
        <w:tc>
          <w:tcPr>
            <w:tcW w:w="3653" w:type="dxa"/>
          </w:tcPr>
          <w:p w14:paraId="0008608D" w14:textId="77777777" w:rsidR="00A52704" w:rsidRDefault="00464A26">
            <w:pPr>
              <w:pStyle w:val="TAL"/>
              <w:jc w:val="center"/>
              <w:rPr>
                <w:highlight w:val="yellow"/>
              </w:rPr>
            </w:pPr>
            <w:r>
              <w:rPr>
                <w:highlight w:val="yellow"/>
              </w:rPr>
              <w:t>t1r1-t1r2</w:t>
            </w:r>
          </w:p>
        </w:tc>
      </w:tr>
      <w:tr w:rsidR="00A52704" w14:paraId="5C879B0B" w14:textId="77777777">
        <w:tc>
          <w:tcPr>
            <w:tcW w:w="3638" w:type="dxa"/>
          </w:tcPr>
          <w:p w14:paraId="50E44E22" w14:textId="77777777" w:rsidR="00A52704" w:rsidRDefault="00464A26">
            <w:pPr>
              <w:pStyle w:val="TAL"/>
              <w:jc w:val="center"/>
              <w:rPr>
                <w:highlight w:val="yellow"/>
              </w:rPr>
            </w:pPr>
            <w:r>
              <w:rPr>
                <w:highlight w:val="yellow"/>
              </w:rPr>
              <w:t>t1r4</w:t>
            </w:r>
          </w:p>
        </w:tc>
        <w:tc>
          <w:tcPr>
            <w:tcW w:w="3653" w:type="dxa"/>
          </w:tcPr>
          <w:p w14:paraId="619642A5" w14:textId="77777777" w:rsidR="00A52704" w:rsidRDefault="00464A26">
            <w:pPr>
              <w:pStyle w:val="TAL"/>
              <w:jc w:val="center"/>
              <w:rPr>
                <w:highlight w:val="yellow"/>
              </w:rPr>
            </w:pPr>
            <w:r>
              <w:rPr>
                <w:highlight w:val="yellow"/>
              </w:rPr>
              <w:t>t1r1-t1r2-t1r4</w:t>
            </w:r>
          </w:p>
        </w:tc>
      </w:tr>
      <w:tr w:rsidR="00A52704" w14:paraId="0F32B466" w14:textId="77777777">
        <w:tc>
          <w:tcPr>
            <w:tcW w:w="3638" w:type="dxa"/>
          </w:tcPr>
          <w:p w14:paraId="5953CC70" w14:textId="77777777" w:rsidR="00A52704" w:rsidRDefault="00464A26">
            <w:pPr>
              <w:pStyle w:val="TAL"/>
              <w:jc w:val="center"/>
              <w:rPr>
                <w:highlight w:val="yellow"/>
              </w:rPr>
            </w:pPr>
            <w:r>
              <w:rPr>
                <w:highlight w:val="yellow"/>
              </w:rPr>
              <w:t>t2r4</w:t>
            </w:r>
          </w:p>
        </w:tc>
        <w:tc>
          <w:tcPr>
            <w:tcW w:w="3653" w:type="dxa"/>
          </w:tcPr>
          <w:p w14:paraId="7ED6BD8D" w14:textId="77777777" w:rsidR="00A52704" w:rsidRDefault="00464A26">
            <w:pPr>
              <w:pStyle w:val="TAL"/>
              <w:jc w:val="center"/>
              <w:rPr>
                <w:highlight w:val="yellow"/>
              </w:rPr>
            </w:pPr>
            <w:r>
              <w:rPr>
                <w:highlight w:val="yellow"/>
              </w:rPr>
              <w:t>t1r1-t1r2-t2r2-t2r4</w:t>
            </w:r>
          </w:p>
        </w:tc>
      </w:tr>
      <w:tr w:rsidR="00A52704" w14:paraId="68C9A601" w14:textId="77777777">
        <w:tc>
          <w:tcPr>
            <w:tcW w:w="3638" w:type="dxa"/>
          </w:tcPr>
          <w:p w14:paraId="273F6F5E" w14:textId="77777777" w:rsidR="00A52704" w:rsidRDefault="00464A26">
            <w:pPr>
              <w:pStyle w:val="TAL"/>
              <w:jc w:val="center"/>
              <w:rPr>
                <w:highlight w:val="yellow"/>
              </w:rPr>
            </w:pPr>
            <w:r>
              <w:rPr>
                <w:highlight w:val="yellow"/>
              </w:rPr>
              <w:t>t2r2</w:t>
            </w:r>
          </w:p>
        </w:tc>
        <w:tc>
          <w:tcPr>
            <w:tcW w:w="3653" w:type="dxa"/>
          </w:tcPr>
          <w:p w14:paraId="47A03979" w14:textId="77777777" w:rsidR="00A52704" w:rsidRDefault="00464A26">
            <w:pPr>
              <w:pStyle w:val="TAL"/>
              <w:jc w:val="center"/>
              <w:rPr>
                <w:highlight w:val="yellow"/>
              </w:rPr>
            </w:pPr>
            <w:r>
              <w:rPr>
                <w:highlight w:val="yellow"/>
              </w:rPr>
              <w:t>t1r1-t2r2</w:t>
            </w:r>
          </w:p>
        </w:tc>
      </w:tr>
      <w:tr w:rsidR="00A52704" w14:paraId="6173F262" w14:textId="77777777">
        <w:tc>
          <w:tcPr>
            <w:tcW w:w="3638" w:type="dxa"/>
          </w:tcPr>
          <w:p w14:paraId="1AF26668" w14:textId="77777777" w:rsidR="00A52704" w:rsidRDefault="00464A26">
            <w:pPr>
              <w:pStyle w:val="TAL"/>
              <w:jc w:val="center"/>
              <w:rPr>
                <w:highlight w:val="yellow"/>
              </w:rPr>
            </w:pPr>
            <w:r>
              <w:rPr>
                <w:highlight w:val="yellow"/>
              </w:rPr>
              <w:t>t4r4</w:t>
            </w:r>
          </w:p>
        </w:tc>
        <w:tc>
          <w:tcPr>
            <w:tcW w:w="3653" w:type="dxa"/>
          </w:tcPr>
          <w:p w14:paraId="604F68CA" w14:textId="77777777" w:rsidR="00A52704" w:rsidRDefault="00464A26">
            <w:pPr>
              <w:pStyle w:val="TAL"/>
              <w:jc w:val="center"/>
              <w:rPr>
                <w:highlight w:val="yellow"/>
              </w:rPr>
            </w:pPr>
            <w:r>
              <w:rPr>
                <w:highlight w:val="yellow"/>
              </w:rPr>
              <w:t>t1r1-t2r2-t4r4</w:t>
            </w:r>
          </w:p>
        </w:tc>
      </w:tr>
      <w:tr w:rsidR="00A52704" w14:paraId="757AF5EC" w14:textId="77777777">
        <w:tc>
          <w:tcPr>
            <w:tcW w:w="3638" w:type="dxa"/>
          </w:tcPr>
          <w:p w14:paraId="3826941C" w14:textId="77777777" w:rsidR="00A52704" w:rsidRDefault="00464A26">
            <w:pPr>
              <w:pStyle w:val="TAL"/>
              <w:jc w:val="center"/>
              <w:rPr>
                <w:highlight w:val="yellow"/>
              </w:rPr>
            </w:pPr>
            <w:r>
              <w:rPr>
                <w:highlight w:val="yellow"/>
              </w:rPr>
              <w:t>t1r4-t2r4</w:t>
            </w:r>
          </w:p>
        </w:tc>
        <w:tc>
          <w:tcPr>
            <w:tcW w:w="3653" w:type="dxa"/>
          </w:tcPr>
          <w:p w14:paraId="3B0CCF56" w14:textId="77777777" w:rsidR="00A52704" w:rsidRDefault="00464A26">
            <w:pPr>
              <w:pStyle w:val="TAL"/>
              <w:jc w:val="center"/>
              <w:rPr>
                <w:highlight w:val="yellow"/>
              </w:rPr>
            </w:pPr>
            <w:r>
              <w:rPr>
                <w:highlight w:val="yellow"/>
              </w:rPr>
              <w:t>t1r1-t1r2-t2r2-t1r4-t2r4</w:t>
            </w:r>
          </w:p>
        </w:tc>
      </w:tr>
    </w:tbl>
    <w:p w14:paraId="09395D38" w14:textId="77777777" w:rsidR="00A52704" w:rsidRDefault="00A52704">
      <w:pPr>
        <w:spacing w:beforeLines="50" w:before="120"/>
      </w:pPr>
    </w:p>
    <w:p w14:paraId="78B9D1D5" w14:textId="77777777" w:rsidR="00A52704" w:rsidRDefault="00464A26">
      <w:pPr>
        <w:spacing w:beforeLines="50" w:before="120"/>
      </w:pPr>
      <w:r>
        <w:rPr>
          <w:rFonts w:hint="eastAsia"/>
          <w:b/>
          <w:bCs/>
        </w:rPr>
        <w:t>A</w:t>
      </w:r>
      <w:r>
        <w:rPr>
          <w:b/>
          <w:bCs/>
        </w:rPr>
        <w:t>pproach-2</w:t>
      </w:r>
      <w:r>
        <w:t xml:space="preserve">: As indicated in Intel-paper (Alt-2) </w:t>
      </w:r>
      <w:r>
        <w:fldChar w:fldCharType="begin"/>
      </w:r>
      <w:r>
        <w:instrText xml:space="preserve"> REF _Ref33474593 \r \h </w:instrText>
      </w:r>
      <w:r>
        <w:fldChar w:fldCharType="separate"/>
      </w:r>
      <w:r>
        <w:t>[6]</w:t>
      </w:r>
      <w:r>
        <w:fldChar w:fldCharType="end"/>
      </w:r>
      <w:r>
        <w:fldChar w:fldCharType="begin"/>
      </w:r>
      <w:r>
        <w:instrText xml:space="preserve"> REF _Ref33473691 \r \h </w:instrText>
      </w:r>
      <w:r>
        <w:fldChar w:fldCharType="separate"/>
      </w:r>
      <w:r>
        <w:t>[7]</w:t>
      </w:r>
      <w:r>
        <w:fldChar w:fldCharType="end"/>
      </w:r>
      <w:r>
        <w:t>, to only capture a single code-point in 38.331</w:t>
      </w:r>
    </w:p>
    <w:p w14:paraId="0BB3C3D4"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US" w:eastAsia="en-GB"/>
        </w:rPr>
      </w:pPr>
      <w:r>
        <w:rPr>
          <w:rFonts w:ascii="Courier New" w:eastAsia="Times New Roman" w:hAnsi="Courier New"/>
          <w:sz w:val="16"/>
          <w:lang w:val="en-US" w:eastAsia="en-GB"/>
        </w:rPr>
        <w:t xml:space="preserve">        downgradedSRS-TxPortSwitch-r16       </w:t>
      </w:r>
      <w:r>
        <w:rPr>
          <w:rFonts w:ascii="Courier New" w:eastAsia="Times New Roman" w:hAnsi="Courier New"/>
          <w:color w:val="993366"/>
          <w:sz w:val="16"/>
          <w:lang w:val="en-US" w:eastAsia="en-GB"/>
        </w:rPr>
        <w:t>ENUMERATED</w:t>
      </w:r>
      <w:r>
        <w:rPr>
          <w:rFonts w:ascii="Courier New" w:eastAsia="Times New Roman" w:hAnsi="Courier New"/>
          <w:sz w:val="16"/>
          <w:lang w:val="en-US" w:eastAsia="en-GB"/>
        </w:rPr>
        <w:t xml:space="preserve"> {supported}</w:t>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t xml:space="preserve"> </w:t>
      </w:r>
      <w:r>
        <w:rPr>
          <w:rFonts w:ascii="Courier New" w:eastAsia="Times New Roman" w:hAnsi="Courier New"/>
          <w:color w:val="993366"/>
          <w:sz w:val="16"/>
          <w:lang w:val="en-US" w:eastAsia="en-GB"/>
        </w:rPr>
        <w:t>OPTIONAL</w:t>
      </w:r>
      <w:r>
        <w:rPr>
          <w:rFonts w:ascii="Courier New" w:eastAsia="Times New Roman" w:hAnsi="Courier New"/>
          <w:sz w:val="16"/>
          <w:lang w:val="en-US" w:eastAsia="en-GB"/>
        </w:rPr>
        <w:t>,</w:t>
      </w:r>
    </w:p>
    <w:p w14:paraId="0A6C61C7" w14:textId="77777777" w:rsidR="00A52704" w:rsidRDefault="00464A26">
      <w:pPr>
        <w:spacing w:beforeLines="50" w:before="120"/>
      </w:pPr>
      <w:r>
        <w:t>And in 38.306, to clarify the intended down-grading SRS Tx switching pattern</w:t>
      </w:r>
    </w:p>
    <w:p w14:paraId="7AEFC6E3" w14:textId="77777777" w:rsidR="00A52704" w:rsidRDefault="00464A26">
      <w:pPr>
        <w:rPr>
          <w:b/>
          <w:bCs/>
          <w:i/>
          <w:iCs/>
          <w:sz w:val="18"/>
          <w:szCs w:val="18"/>
        </w:rPr>
      </w:pPr>
      <w:r>
        <w:rPr>
          <w:b/>
          <w:bCs/>
          <w:i/>
          <w:iCs/>
          <w:sz w:val="18"/>
          <w:szCs w:val="18"/>
        </w:rPr>
        <w:t>downgradedSRS-TxPortSwitch</w:t>
      </w:r>
    </w:p>
    <w:p w14:paraId="5BADEA20" w14:textId="77777777" w:rsidR="00A52704" w:rsidRDefault="00464A26">
      <w:pPr>
        <w:rPr>
          <w:i/>
          <w:iCs/>
          <w:sz w:val="18"/>
          <w:szCs w:val="18"/>
        </w:rPr>
      </w:pPr>
      <w:r>
        <w:rPr>
          <w:i/>
          <w:iCs/>
          <w:sz w:val="18"/>
          <w:szCs w:val="18"/>
        </w:rPr>
        <w:t xml:space="preserve">Indicates whether the UE supports downgrading configuration of SRS for antenna switching according to the below table, based on the capability signalled using supportedSRS-TxPortSwitch. If UE reported ‘notSupported’ for supportedSRS-TxPortSwitch, the UE does not report this field. </w:t>
      </w:r>
    </w:p>
    <w:p w14:paraId="39FBAA9D" w14:textId="77777777" w:rsidR="00A52704" w:rsidRDefault="00A52704">
      <w:pPr>
        <w:keepNext/>
        <w:keepLines/>
        <w:spacing w:after="0"/>
        <w:rPr>
          <w:rFonts w:cs="Arial"/>
          <w:i/>
          <w:iCs/>
          <w:sz w:val="18"/>
          <w:szCs w:val="1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3686"/>
      </w:tblGrid>
      <w:tr w:rsidR="00A52704" w14:paraId="3886A171" w14:textId="77777777">
        <w:tc>
          <w:tcPr>
            <w:tcW w:w="3544" w:type="dxa"/>
          </w:tcPr>
          <w:p w14:paraId="06CD0C79" w14:textId="77777777" w:rsidR="00A52704" w:rsidRDefault="00464A26">
            <w:pPr>
              <w:pStyle w:val="TAH"/>
              <w:keepNext w:val="0"/>
              <w:keepLines w:val="0"/>
              <w:widowControl w:val="0"/>
              <w:rPr>
                <w:iCs/>
                <w:szCs w:val="18"/>
                <w:highlight w:val="yellow"/>
              </w:rPr>
            </w:pPr>
            <w:r>
              <w:rPr>
                <w:szCs w:val="18"/>
                <w:highlight w:val="yellow"/>
              </w:rPr>
              <w:t>supportedSRS-TxPortSwitch</w:t>
            </w:r>
          </w:p>
        </w:tc>
        <w:tc>
          <w:tcPr>
            <w:tcW w:w="3686" w:type="dxa"/>
          </w:tcPr>
          <w:p w14:paraId="036443B8" w14:textId="77777777" w:rsidR="00A52704" w:rsidRDefault="00464A26">
            <w:pPr>
              <w:pStyle w:val="TAH"/>
              <w:keepNext w:val="0"/>
              <w:keepLines w:val="0"/>
              <w:widowControl w:val="0"/>
              <w:rPr>
                <w:iCs/>
                <w:szCs w:val="18"/>
                <w:highlight w:val="yellow"/>
              </w:rPr>
            </w:pPr>
            <w:r>
              <w:rPr>
                <w:iCs/>
                <w:szCs w:val="18"/>
                <w:highlight w:val="yellow"/>
              </w:rPr>
              <w:t>Downgraded configuration the UE supports</w:t>
            </w:r>
          </w:p>
        </w:tc>
      </w:tr>
      <w:tr w:rsidR="00A52704" w14:paraId="53B1995A" w14:textId="77777777">
        <w:tc>
          <w:tcPr>
            <w:tcW w:w="3544" w:type="dxa"/>
          </w:tcPr>
          <w:p w14:paraId="1FEC3D5A" w14:textId="77777777" w:rsidR="00A52704" w:rsidRDefault="00464A26">
            <w:pPr>
              <w:pStyle w:val="TAL"/>
              <w:keepNext w:val="0"/>
              <w:keepLines w:val="0"/>
              <w:widowControl w:val="0"/>
              <w:jc w:val="center"/>
              <w:rPr>
                <w:szCs w:val="18"/>
                <w:highlight w:val="yellow"/>
              </w:rPr>
            </w:pPr>
            <w:r>
              <w:rPr>
                <w:szCs w:val="18"/>
                <w:highlight w:val="yellow"/>
              </w:rPr>
              <w:t>t1r2</w:t>
            </w:r>
          </w:p>
        </w:tc>
        <w:tc>
          <w:tcPr>
            <w:tcW w:w="3686" w:type="dxa"/>
          </w:tcPr>
          <w:p w14:paraId="44FA5C3E" w14:textId="77777777" w:rsidR="00A52704" w:rsidRDefault="00464A26">
            <w:pPr>
              <w:pStyle w:val="TAL"/>
              <w:keepNext w:val="0"/>
              <w:keepLines w:val="0"/>
              <w:widowControl w:val="0"/>
              <w:jc w:val="center"/>
              <w:rPr>
                <w:szCs w:val="18"/>
                <w:highlight w:val="yellow"/>
              </w:rPr>
            </w:pPr>
            <w:r>
              <w:rPr>
                <w:szCs w:val="18"/>
                <w:highlight w:val="yellow"/>
              </w:rPr>
              <w:t>t1r1</w:t>
            </w:r>
          </w:p>
        </w:tc>
      </w:tr>
      <w:tr w:rsidR="00A52704" w14:paraId="15DA4DC0" w14:textId="77777777">
        <w:tc>
          <w:tcPr>
            <w:tcW w:w="3544" w:type="dxa"/>
          </w:tcPr>
          <w:p w14:paraId="5F5501F0" w14:textId="77777777" w:rsidR="00A52704" w:rsidRDefault="00464A26">
            <w:pPr>
              <w:pStyle w:val="TAL"/>
              <w:keepNext w:val="0"/>
              <w:keepLines w:val="0"/>
              <w:widowControl w:val="0"/>
              <w:jc w:val="center"/>
              <w:rPr>
                <w:szCs w:val="18"/>
                <w:highlight w:val="yellow"/>
              </w:rPr>
            </w:pPr>
            <w:r>
              <w:rPr>
                <w:szCs w:val="18"/>
                <w:highlight w:val="yellow"/>
              </w:rPr>
              <w:t>t1r4</w:t>
            </w:r>
          </w:p>
        </w:tc>
        <w:tc>
          <w:tcPr>
            <w:tcW w:w="3686" w:type="dxa"/>
          </w:tcPr>
          <w:p w14:paraId="5B3831C6" w14:textId="77777777" w:rsidR="00A52704" w:rsidRDefault="00464A26">
            <w:pPr>
              <w:pStyle w:val="TAL"/>
              <w:keepNext w:val="0"/>
              <w:keepLines w:val="0"/>
              <w:widowControl w:val="0"/>
              <w:jc w:val="center"/>
              <w:rPr>
                <w:szCs w:val="18"/>
                <w:highlight w:val="yellow"/>
              </w:rPr>
            </w:pPr>
            <w:r>
              <w:rPr>
                <w:szCs w:val="18"/>
                <w:highlight w:val="yellow"/>
              </w:rPr>
              <w:t>t1r1, t1r2</w:t>
            </w:r>
          </w:p>
        </w:tc>
      </w:tr>
      <w:tr w:rsidR="00A52704" w14:paraId="6B80C403" w14:textId="77777777">
        <w:tc>
          <w:tcPr>
            <w:tcW w:w="3544" w:type="dxa"/>
          </w:tcPr>
          <w:p w14:paraId="72E589E6" w14:textId="77777777" w:rsidR="00A52704" w:rsidRDefault="00464A26">
            <w:pPr>
              <w:pStyle w:val="TAL"/>
              <w:keepNext w:val="0"/>
              <w:keepLines w:val="0"/>
              <w:widowControl w:val="0"/>
              <w:jc w:val="center"/>
              <w:rPr>
                <w:szCs w:val="18"/>
                <w:highlight w:val="yellow"/>
              </w:rPr>
            </w:pPr>
            <w:r>
              <w:rPr>
                <w:szCs w:val="18"/>
                <w:highlight w:val="yellow"/>
              </w:rPr>
              <w:t>t2r4</w:t>
            </w:r>
          </w:p>
        </w:tc>
        <w:tc>
          <w:tcPr>
            <w:tcW w:w="3686" w:type="dxa"/>
          </w:tcPr>
          <w:p w14:paraId="6AE843DF" w14:textId="77777777" w:rsidR="00A52704" w:rsidRDefault="00464A26">
            <w:pPr>
              <w:pStyle w:val="TAL"/>
              <w:keepNext w:val="0"/>
              <w:keepLines w:val="0"/>
              <w:widowControl w:val="0"/>
              <w:jc w:val="center"/>
              <w:rPr>
                <w:szCs w:val="18"/>
                <w:highlight w:val="yellow"/>
              </w:rPr>
            </w:pPr>
            <w:r>
              <w:rPr>
                <w:szCs w:val="18"/>
                <w:highlight w:val="yellow"/>
              </w:rPr>
              <w:t>t1r1, t1r2, t2r2</w:t>
            </w:r>
          </w:p>
        </w:tc>
      </w:tr>
      <w:tr w:rsidR="00A52704" w14:paraId="6C31CD4D" w14:textId="77777777">
        <w:tc>
          <w:tcPr>
            <w:tcW w:w="3544" w:type="dxa"/>
          </w:tcPr>
          <w:p w14:paraId="45EC86A0" w14:textId="77777777" w:rsidR="00A52704" w:rsidRDefault="00464A26">
            <w:pPr>
              <w:pStyle w:val="TAL"/>
              <w:keepNext w:val="0"/>
              <w:keepLines w:val="0"/>
              <w:widowControl w:val="0"/>
              <w:jc w:val="center"/>
              <w:rPr>
                <w:szCs w:val="18"/>
                <w:highlight w:val="yellow"/>
              </w:rPr>
            </w:pPr>
            <w:r>
              <w:rPr>
                <w:szCs w:val="18"/>
                <w:highlight w:val="yellow"/>
              </w:rPr>
              <w:t>t2r2</w:t>
            </w:r>
          </w:p>
        </w:tc>
        <w:tc>
          <w:tcPr>
            <w:tcW w:w="3686" w:type="dxa"/>
          </w:tcPr>
          <w:p w14:paraId="1DF57262" w14:textId="77777777" w:rsidR="00A52704" w:rsidRDefault="00464A26">
            <w:pPr>
              <w:pStyle w:val="TAL"/>
              <w:keepNext w:val="0"/>
              <w:keepLines w:val="0"/>
              <w:widowControl w:val="0"/>
              <w:jc w:val="center"/>
              <w:rPr>
                <w:szCs w:val="18"/>
                <w:highlight w:val="yellow"/>
              </w:rPr>
            </w:pPr>
            <w:r>
              <w:rPr>
                <w:szCs w:val="18"/>
                <w:highlight w:val="yellow"/>
              </w:rPr>
              <w:t>t1r1</w:t>
            </w:r>
          </w:p>
        </w:tc>
      </w:tr>
      <w:tr w:rsidR="00A52704" w14:paraId="5CC1AD78" w14:textId="77777777">
        <w:tc>
          <w:tcPr>
            <w:tcW w:w="3544" w:type="dxa"/>
          </w:tcPr>
          <w:p w14:paraId="4D9DE98D" w14:textId="77777777" w:rsidR="00A52704" w:rsidRDefault="00464A26">
            <w:pPr>
              <w:pStyle w:val="TAL"/>
              <w:keepNext w:val="0"/>
              <w:keepLines w:val="0"/>
              <w:widowControl w:val="0"/>
              <w:jc w:val="center"/>
              <w:rPr>
                <w:szCs w:val="18"/>
                <w:highlight w:val="yellow"/>
              </w:rPr>
            </w:pPr>
            <w:r>
              <w:rPr>
                <w:szCs w:val="18"/>
                <w:highlight w:val="yellow"/>
              </w:rPr>
              <w:t>t4r4</w:t>
            </w:r>
          </w:p>
        </w:tc>
        <w:tc>
          <w:tcPr>
            <w:tcW w:w="3686" w:type="dxa"/>
          </w:tcPr>
          <w:p w14:paraId="3E159353" w14:textId="77777777" w:rsidR="00A52704" w:rsidRDefault="00464A26">
            <w:pPr>
              <w:pStyle w:val="TAL"/>
              <w:keepNext w:val="0"/>
              <w:keepLines w:val="0"/>
              <w:widowControl w:val="0"/>
              <w:jc w:val="center"/>
              <w:rPr>
                <w:szCs w:val="18"/>
                <w:highlight w:val="yellow"/>
              </w:rPr>
            </w:pPr>
            <w:r>
              <w:rPr>
                <w:szCs w:val="18"/>
                <w:highlight w:val="yellow"/>
              </w:rPr>
              <w:t>t1r1, t2r2</w:t>
            </w:r>
          </w:p>
        </w:tc>
      </w:tr>
      <w:tr w:rsidR="00A52704" w14:paraId="26936708" w14:textId="77777777">
        <w:tc>
          <w:tcPr>
            <w:tcW w:w="3544" w:type="dxa"/>
          </w:tcPr>
          <w:p w14:paraId="0D28B807" w14:textId="77777777" w:rsidR="00A52704" w:rsidRDefault="00464A26">
            <w:pPr>
              <w:pStyle w:val="TAL"/>
              <w:keepNext w:val="0"/>
              <w:keepLines w:val="0"/>
              <w:widowControl w:val="0"/>
              <w:jc w:val="center"/>
              <w:rPr>
                <w:szCs w:val="18"/>
                <w:highlight w:val="yellow"/>
              </w:rPr>
            </w:pPr>
            <w:r>
              <w:rPr>
                <w:szCs w:val="18"/>
                <w:highlight w:val="yellow"/>
              </w:rPr>
              <w:t>t1r4-t2r4</w:t>
            </w:r>
          </w:p>
        </w:tc>
        <w:tc>
          <w:tcPr>
            <w:tcW w:w="3686" w:type="dxa"/>
          </w:tcPr>
          <w:p w14:paraId="6E289971" w14:textId="77777777" w:rsidR="00A52704" w:rsidRDefault="00464A26">
            <w:pPr>
              <w:pStyle w:val="TAL"/>
              <w:keepNext w:val="0"/>
              <w:keepLines w:val="0"/>
              <w:widowControl w:val="0"/>
              <w:jc w:val="center"/>
              <w:rPr>
                <w:szCs w:val="18"/>
                <w:highlight w:val="yellow"/>
              </w:rPr>
            </w:pPr>
            <w:r>
              <w:rPr>
                <w:szCs w:val="18"/>
                <w:highlight w:val="yellow"/>
              </w:rPr>
              <w:t>t1r1, t1r2, t2r2</w:t>
            </w:r>
          </w:p>
        </w:tc>
      </w:tr>
    </w:tbl>
    <w:p w14:paraId="7FE475CB" w14:textId="77777777" w:rsidR="00A52704" w:rsidRDefault="00A52704">
      <w:pPr>
        <w:spacing w:beforeLines="50" w:before="120"/>
        <w:rPr>
          <w:sz w:val="18"/>
          <w:szCs w:val="18"/>
        </w:rPr>
      </w:pPr>
    </w:p>
    <w:p w14:paraId="7A87EF6B" w14:textId="77777777" w:rsidR="00A52704" w:rsidRDefault="00464A26">
      <w:pPr>
        <w:spacing w:beforeLines="50" w:before="120"/>
        <w:rPr>
          <w:rFonts w:cs="Arial"/>
          <w:b/>
          <w:bCs/>
          <w:sz w:val="18"/>
          <w:szCs w:val="18"/>
        </w:rPr>
      </w:pPr>
      <w:r>
        <w:rPr>
          <w:rFonts w:cs="Arial"/>
          <w:b/>
          <w:bCs/>
          <w:sz w:val="18"/>
          <w:szCs w:val="18"/>
        </w:rPr>
        <w:t xml:space="preserve">Question-1: Do companies agree to capture coupling between R15 IE and R16 IE on SRS Tx switching pattern? </w:t>
      </w:r>
    </w:p>
    <w:p w14:paraId="4BF8D3AE" w14:textId="77777777" w:rsidR="00A52704" w:rsidRDefault="00464A26">
      <w:pPr>
        <w:numPr>
          <w:ilvl w:val="0"/>
          <w:numId w:val="12"/>
        </w:numPr>
        <w:spacing w:beforeLines="50" w:before="120"/>
        <w:rPr>
          <w:rFonts w:cs="Arial"/>
          <w:b/>
          <w:bCs/>
          <w:sz w:val="18"/>
          <w:szCs w:val="18"/>
        </w:rPr>
      </w:pPr>
      <w:r>
        <w:rPr>
          <w:rFonts w:cs="Arial"/>
          <w:b/>
          <w:bCs/>
          <w:sz w:val="18"/>
          <w:szCs w:val="18"/>
        </w:rPr>
        <w:t xml:space="preserve">Yes – in this case, which Approach you prefer. </w:t>
      </w:r>
    </w:p>
    <w:p w14:paraId="23DDA523" w14:textId="77777777" w:rsidR="00A52704" w:rsidRDefault="00464A26">
      <w:pPr>
        <w:numPr>
          <w:ilvl w:val="0"/>
          <w:numId w:val="12"/>
        </w:numPr>
        <w:spacing w:beforeLines="50" w:before="120"/>
        <w:rPr>
          <w:rFonts w:cs="Arial"/>
          <w:sz w:val="18"/>
          <w:szCs w:val="18"/>
        </w:rPr>
      </w:pPr>
      <w:r>
        <w:rPr>
          <w:rFonts w:cs="Arial"/>
          <w:b/>
          <w:bCs/>
          <w:sz w:val="18"/>
          <w:szCs w:val="18"/>
        </w:rPr>
        <w:t>No – In this case, please clarify the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268"/>
        <w:gridCol w:w="6486"/>
      </w:tblGrid>
      <w:tr w:rsidR="00A52704" w14:paraId="362B3872" w14:textId="77777777">
        <w:tc>
          <w:tcPr>
            <w:tcW w:w="1101" w:type="dxa"/>
            <w:shd w:val="clear" w:color="auto" w:fill="D9D9D9"/>
          </w:tcPr>
          <w:p w14:paraId="0914EAE9" w14:textId="77777777" w:rsidR="00A52704" w:rsidRDefault="00464A26">
            <w:pPr>
              <w:spacing w:after="0"/>
            </w:pPr>
            <w:r>
              <w:rPr>
                <w:rFonts w:hint="eastAsia"/>
              </w:rPr>
              <w:t>Co</w:t>
            </w:r>
            <w:r>
              <w:t>mpany</w:t>
            </w:r>
          </w:p>
        </w:tc>
        <w:tc>
          <w:tcPr>
            <w:tcW w:w="2268" w:type="dxa"/>
            <w:shd w:val="clear" w:color="auto" w:fill="D9D9D9"/>
          </w:tcPr>
          <w:p w14:paraId="0284B328" w14:textId="77777777" w:rsidR="00A52704" w:rsidRDefault="00464A26">
            <w:pPr>
              <w:spacing w:after="0"/>
            </w:pPr>
            <w:r>
              <w:t>Yes/No (if Yes, which approach is preferred)</w:t>
            </w:r>
          </w:p>
        </w:tc>
        <w:tc>
          <w:tcPr>
            <w:tcW w:w="6486" w:type="dxa"/>
            <w:shd w:val="clear" w:color="auto" w:fill="D9D9D9"/>
          </w:tcPr>
          <w:p w14:paraId="37D9B616" w14:textId="77777777" w:rsidR="00A52704" w:rsidRDefault="00464A26">
            <w:pPr>
              <w:spacing w:after="0"/>
            </w:pPr>
            <w:r>
              <w:rPr>
                <w:rFonts w:hint="eastAsia"/>
              </w:rPr>
              <w:t>Comments</w:t>
            </w:r>
          </w:p>
        </w:tc>
      </w:tr>
      <w:tr w:rsidR="00A52704" w14:paraId="2415B0C2" w14:textId="77777777">
        <w:tc>
          <w:tcPr>
            <w:tcW w:w="1101" w:type="dxa"/>
          </w:tcPr>
          <w:p w14:paraId="33213EB6" w14:textId="77777777" w:rsidR="00A52704" w:rsidRDefault="00464A26">
            <w:pPr>
              <w:spacing w:after="0"/>
              <w:rPr>
                <w:rFonts w:eastAsia="Yu Mincho"/>
                <w:lang w:eastAsia="ja-JP"/>
              </w:rPr>
            </w:pPr>
            <w:r>
              <w:rPr>
                <w:rFonts w:eastAsia="Yu Mincho" w:hint="eastAsia"/>
                <w:lang w:eastAsia="ja-JP"/>
              </w:rPr>
              <w:t>Q</w:t>
            </w:r>
            <w:r>
              <w:rPr>
                <w:rFonts w:eastAsia="Yu Mincho"/>
                <w:lang w:eastAsia="ja-JP"/>
              </w:rPr>
              <w:t>ualcomm Incorporated</w:t>
            </w:r>
          </w:p>
        </w:tc>
        <w:tc>
          <w:tcPr>
            <w:tcW w:w="2268" w:type="dxa"/>
          </w:tcPr>
          <w:p w14:paraId="1D6FA908" w14:textId="77777777" w:rsidR="00A52704" w:rsidRDefault="00464A26">
            <w:pPr>
              <w:spacing w:after="0"/>
              <w:rPr>
                <w:rFonts w:eastAsia="Yu Mincho"/>
                <w:lang w:eastAsia="ja-JP"/>
              </w:rPr>
            </w:pPr>
            <w:r>
              <w:rPr>
                <w:rFonts w:eastAsia="Yu Mincho" w:hint="eastAsia"/>
                <w:lang w:eastAsia="ja-JP"/>
              </w:rPr>
              <w:t>Y</w:t>
            </w:r>
            <w:r>
              <w:rPr>
                <w:rFonts w:eastAsia="Yu Mincho"/>
                <w:lang w:eastAsia="ja-JP"/>
              </w:rPr>
              <w:t>es, Approach 2</w:t>
            </w:r>
          </w:p>
        </w:tc>
        <w:tc>
          <w:tcPr>
            <w:tcW w:w="6486" w:type="dxa"/>
          </w:tcPr>
          <w:p w14:paraId="5FB4545F" w14:textId="77777777" w:rsidR="00A52704" w:rsidRDefault="00A52704">
            <w:pPr>
              <w:spacing w:after="0"/>
            </w:pPr>
          </w:p>
        </w:tc>
      </w:tr>
      <w:tr w:rsidR="00A52704" w14:paraId="75521759" w14:textId="77777777">
        <w:tc>
          <w:tcPr>
            <w:tcW w:w="1101" w:type="dxa"/>
          </w:tcPr>
          <w:p w14:paraId="6F2AB9B2" w14:textId="77777777" w:rsidR="00A52704" w:rsidRDefault="00464A26">
            <w:pPr>
              <w:spacing w:after="0"/>
              <w:rPr>
                <w:rFonts w:eastAsia="Malgun Gothic"/>
                <w:lang w:eastAsia="ko-KR"/>
              </w:rPr>
            </w:pPr>
            <w:r>
              <w:t>Huawei</w:t>
            </w:r>
          </w:p>
        </w:tc>
        <w:tc>
          <w:tcPr>
            <w:tcW w:w="2268" w:type="dxa"/>
          </w:tcPr>
          <w:p w14:paraId="5522DCD8" w14:textId="77777777" w:rsidR="00A52704" w:rsidRDefault="00464A26">
            <w:pPr>
              <w:spacing w:after="0"/>
            </w:pPr>
            <w:r>
              <w:rPr>
                <w:rFonts w:hint="eastAsia"/>
              </w:rPr>
              <w:t>Y</w:t>
            </w:r>
            <w:r>
              <w:t>es, Approach-1</w:t>
            </w:r>
          </w:p>
        </w:tc>
        <w:tc>
          <w:tcPr>
            <w:tcW w:w="6486" w:type="dxa"/>
          </w:tcPr>
          <w:p w14:paraId="357F3BFC" w14:textId="77777777" w:rsidR="00A52704" w:rsidRDefault="00464A26">
            <w:pPr>
              <w:spacing w:after="0"/>
            </w:pPr>
            <w:r>
              <w:t>Indicating the down-grading capability explicitly is more forward compatible, e.g. if there would be two or more down-grading values.</w:t>
            </w:r>
          </w:p>
          <w:p w14:paraId="6D2D1380" w14:textId="77777777" w:rsidR="00A52704" w:rsidRDefault="00464A26">
            <w:pPr>
              <w:spacing w:after="0"/>
            </w:pPr>
            <w:r>
              <w:t>Regarding 1A or 1B, we don’t have strong view.</w:t>
            </w:r>
          </w:p>
        </w:tc>
      </w:tr>
      <w:tr w:rsidR="00A52704" w14:paraId="62F8AEDC" w14:textId="77777777">
        <w:tc>
          <w:tcPr>
            <w:tcW w:w="1101" w:type="dxa"/>
          </w:tcPr>
          <w:p w14:paraId="6956A94A" w14:textId="77777777" w:rsidR="00A52704" w:rsidRDefault="00464A26">
            <w:pPr>
              <w:spacing w:after="0"/>
            </w:pPr>
            <w:r>
              <w:rPr>
                <w:rFonts w:hint="eastAsia"/>
              </w:rPr>
              <w:t>CATT</w:t>
            </w:r>
          </w:p>
        </w:tc>
        <w:tc>
          <w:tcPr>
            <w:tcW w:w="2268" w:type="dxa"/>
          </w:tcPr>
          <w:p w14:paraId="3CA974BE" w14:textId="77777777" w:rsidR="00A52704" w:rsidRDefault="00464A26">
            <w:pPr>
              <w:spacing w:after="0"/>
            </w:pPr>
            <w:r>
              <w:rPr>
                <w:rFonts w:hint="eastAsia"/>
              </w:rPr>
              <w:t>Y</w:t>
            </w:r>
            <w:r>
              <w:t>es, Approach-1</w:t>
            </w:r>
          </w:p>
        </w:tc>
        <w:tc>
          <w:tcPr>
            <w:tcW w:w="6486" w:type="dxa"/>
          </w:tcPr>
          <w:p w14:paraId="4BF07656" w14:textId="77777777" w:rsidR="00A52704" w:rsidRDefault="00464A26">
            <w:pPr>
              <w:spacing w:after="0"/>
            </w:pPr>
            <w:r>
              <w:rPr>
                <w:rFonts w:hint="eastAsia"/>
              </w:rPr>
              <w:t>Agree with Huawei. E</w:t>
            </w:r>
            <w:r>
              <w:t>xplicitly</w:t>
            </w:r>
            <w:r>
              <w:rPr>
                <w:rFonts w:hint="eastAsia"/>
              </w:rPr>
              <w:t xml:space="preserve"> approach is </w:t>
            </w:r>
            <w:r>
              <w:t>preferred</w:t>
            </w:r>
            <w:r>
              <w:rPr>
                <w:rFonts w:hint="eastAsia"/>
              </w:rPr>
              <w:t xml:space="preserve">, </w:t>
            </w:r>
            <w:r>
              <w:t>if there would be two or more down-grading values</w:t>
            </w:r>
            <w:r>
              <w:rPr>
                <w:rFonts w:hint="eastAsia"/>
              </w:rPr>
              <w:t xml:space="preserve"> associated with one R15 value.</w:t>
            </w:r>
          </w:p>
        </w:tc>
      </w:tr>
      <w:tr w:rsidR="00A52704" w14:paraId="13D71E1A" w14:textId="77777777">
        <w:tc>
          <w:tcPr>
            <w:tcW w:w="1101" w:type="dxa"/>
          </w:tcPr>
          <w:p w14:paraId="79592428" w14:textId="77777777" w:rsidR="00A52704" w:rsidRDefault="00464A26">
            <w:pPr>
              <w:spacing w:after="0"/>
              <w:rPr>
                <w:lang w:val="en-US"/>
              </w:rPr>
            </w:pPr>
            <w:r>
              <w:rPr>
                <w:rFonts w:hint="eastAsia"/>
                <w:lang w:val="en-US"/>
              </w:rPr>
              <w:lastRenderedPageBreak/>
              <w:t>ZTE</w:t>
            </w:r>
          </w:p>
        </w:tc>
        <w:tc>
          <w:tcPr>
            <w:tcW w:w="2268" w:type="dxa"/>
          </w:tcPr>
          <w:p w14:paraId="6BCD047F" w14:textId="77777777" w:rsidR="00A52704" w:rsidRDefault="00464A26">
            <w:pPr>
              <w:spacing w:after="0"/>
            </w:pPr>
            <w:r>
              <w:rPr>
                <w:rFonts w:eastAsia="Yu Mincho" w:hint="eastAsia"/>
                <w:lang w:eastAsia="ja-JP"/>
              </w:rPr>
              <w:t>Y</w:t>
            </w:r>
            <w:r>
              <w:rPr>
                <w:rFonts w:eastAsia="Yu Mincho"/>
                <w:lang w:eastAsia="ja-JP"/>
              </w:rPr>
              <w:t>es</w:t>
            </w:r>
            <w:r>
              <w:rPr>
                <w:rFonts w:hint="eastAsia"/>
                <w:lang w:val="en-US"/>
              </w:rPr>
              <w:t>,</w:t>
            </w:r>
            <w:r>
              <w:t xml:space="preserve"> Approach-1</w:t>
            </w:r>
          </w:p>
        </w:tc>
        <w:tc>
          <w:tcPr>
            <w:tcW w:w="6486" w:type="dxa"/>
          </w:tcPr>
          <w:p w14:paraId="3332609E" w14:textId="77777777" w:rsidR="00A52704" w:rsidRDefault="00464A26">
            <w:pPr>
              <w:spacing w:after="0"/>
              <w:rPr>
                <w:rFonts w:ascii="Times New Roman" w:hAnsi="Times New Roman"/>
                <w:sz w:val="18"/>
                <w:szCs w:val="18"/>
                <w:lang w:val="en-US"/>
              </w:rPr>
            </w:pPr>
            <w:r>
              <w:rPr>
                <w:rFonts w:ascii="Times New Roman" w:hAnsi="Times New Roman"/>
                <w:sz w:val="18"/>
                <w:szCs w:val="18"/>
                <w:lang w:val="en-US"/>
              </w:rPr>
              <w:t>Based on the v2 version</w:t>
            </w:r>
            <w:r>
              <w:rPr>
                <w:rFonts w:ascii="Times New Roman" w:hAnsi="Times New Roman" w:hint="eastAsia"/>
                <w:sz w:val="18"/>
                <w:szCs w:val="18"/>
                <w:lang w:val="en-US"/>
              </w:rPr>
              <w:t xml:space="preserve"> of the</w:t>
            </w:r>
            <w:r>
              <w:rPr>
                <w:rFonts w:ascii="Times New Roman" w:hAnsi="Times New Roman"/>
                <w:sz w:val="18"/>
                <w:szCs w:val="18"/>
                <w:lang w:val="en-US"/>
              </w:rPr>
              <w:t xml:space="preserve"> 38.306, we think it’s ok to specify that the </w:t>
            </w:r>
            <w:r>
              <w:rPr>
                <w:rFonts w:ascii="Times New Roman" w:hAnsi="Times New Roman"/>
                <w:sz w:val="18"/>
                <w:szCs w:val="18"/>
              </w:rPr>
              <w:t>supportedSRS-TxPortSwitch</w:t>
            </w:r>
            <w:r>
              <w:rPr>
                <w:rFonts w:ascii="Times New Roman" w:hAnsi="Times New Roman"/>
                <w:sz w:val="18"/>
                <w:szCs w:val="18"/>
                <w:lang w:val="en-US"/>
              </w:rPr>
              <w:t xml:space="preserve"> in R15 field is mandatory. But the following 2 parameters shall be optional according to the “2-55” in R1-1907862 as follow, </w:t>
            </w:r>
          </w:p>
          <w:tbl>
            <w:tblPr>
              <w:tblStyle w:val="afb"/>
              <w:tblW w:w="0" w:type="auto"/>
              <w:tblLayout w:type="fixed"/>
              <w:tblLook w:val="0000" w:firstRow="0" w:lastRow="0" w:firstColumn="0" w:lastColumn="0" w:noHBand="0" w:noVBand="0"/>
            </w:tblPr>
            <w:tblGrid>
              <w:gridCol w:w="6270"/>
            </w:tblGrid>
            <w:tr w:rsidR="00A52704" w14:paraId="02637201" w14:textId="77777777">
              <w:trPr>
                <w:trHeight w:val="1726"/>
              </w:trPr>
              <w:tc>
                <w:tcPr>
                  <w:tcW w:w="6270" w:type="dxa"/>
                </w:tcPr>
                <w:p w14:paraId="2EB15734" w14:textId="77777777" w:rsidR="00A52704" w:rsidRDefault="00464A26">
                  <w:pPr>
                    <w:numPr>
                      <w:ilvl w:val="0"/>
                      <w:numId w:val="13"/>
                    </w:numPr>
                    <w:rPr>
                      <w:rFonts w:ascii="Times New Roman" w:eastAsia="Times New Roman" w:hAnsi="Times New Roman"/>
                      <w:sz w:val="18"/>
                      <w:szCs w:val="18"/>
                    </w:rPr>
                  </w:pPr>
                  <w:r>
                    <w:rPr>
                      <w:rFonts w:ascii="Times New Roman" w:eastAsia="Times New Roman" w:hAnsi="Times New Roman"/>
                      <w:sz w:val="18"/>
                      <w:szCs w:val="18"/>
                    </w:rPr>
                    <w:t>Report whether the uplink TX switching impact to downlink receiving in a band,</w:t>
                  </w:r>
                </w:p>
                <w:p w14:paraId="646B3C81" w14:textId="77777777" w:rsidR="00A52704" w:rsidRDefault="00464A26">
                  <w:pPr>
                    <w:snapToGrid w:val="0"/>
                    <w:rPr>
                      <w:rFonts w:ascii="Times New Roman" w:eastAsia="Times New Roman" w:hAnsi="Times New Roman"/>
                      <w:sz w:val="18"/>
                      <w:szCs w:val="18"/>
                    </w:rPr>
                  </w:pPr>
                  <w:r>
                    <w:rPr>
                      <w:rFonts w:ascii="Times New Roman" w:eastAsia="Times New Roman" w:hAnsi="Times New Roman"/>
                      <w:sz w:val="18"/>
                      <w:szCs w:val="18"/>
                    </w:rPr>
                    <w:t>Component-2: Candidate value set:, {yes, no},</w:t>
                  </w:r>
                </w:p>
                <w:p w14:paraId="00FD202C" w14:textId="77777777" w:rsidR="00A52704" w:rsidRDefault="00464A26">
                  <w:pPr>
                    <w:spacing w:after="0"/>
                    <w:rPr>
                      <w:rFonts w:ascii="Times New Roman" w:hAnsi="Times New Roman"/>
                      <w:sz w:val="18"/>
                      <w:szCs w:val="18"/>
                      <w:lang w:val="en-US"/>
                    </w:rPr>
                  </w:pPr>
                  <w:r>
                    <w:rPr>
                      <w:rFonts w:ascii="Times New Roman" w:eastAsia="Times New Roman" w:hAnsi="Times New Roman"/>
                      <w:sz w:val="18"/>
                      <w:szCs w:val="18"/>
                    </w:rPr>
                    <w:t xml:space="preserve">3. Report whether the UL Tx is switched together with UL Tx in another band </w:t>
                  </w:r>
                </w:p>
                <w:p w14:paraId="09C7DC67" w14:textId="77777777" w:rsidR="00A52704" w:rsidRDefault="00464A26">
                  <w:pPr>
                    <w:spacing w:after="0"/>
                    <w:rPr>
                      <w:rFonts w:ascii="Times New Roman" w:eastAsia="Times New Roman" w:hAnsi="Times New Roman"/>
                      <w:sz w:val="18"/>
                      <w:szCs w:val="18"/>
                    </w:rPr>
                  </w:pPr>
                  <w:r>
                    <w:rPr>
                      <w:rFonts w:ascii="Times New Roman" w:eastAsia="Times New Roman" w:hAnsi="Times New Roman"/>
                      <w:sz w:val="18"/>
                      <w:szCs w:val="18"/>
                    </w:rPr>
                    <w:t>Component-3: Candidate value set:, {yes, no}</w:t>
                  </w:r>
                </w:p>
                <w:p w14:paraId="535F1989" w14:textId="77777777" w:rsidR="00A52704" w:rsidRDefault="00464A26">
                  <w:pPr>
                    <w:spacing w:after="0"/>
                    <w:rPr>
                      <w:rFonts w:ascii="Times New Roman" w:eastAsia="Times New Roman" w:hAnsi="Times New Roman"/>
                      <w:sz w:val="18"/>
                      <w:szCs w:val="18"/>
                      <w:lang w:val="en-US"/>
                    </w:rPr>
                  </w:pPr>
                  <w:r>
                    <w:rPr>
                      <w:rFonts w:ascii="Times New Roman" w:eastAsia="MS PGothic" w:hAnsi="Times New Roman"/>
                      <w:sz w:val="18"/>
                      <w:szCs w:val="18"/>
                    </w:rPr>
                    <w:t>Note that the band pair in Component-2 and Component-3 can be an LTE band and an NR band</w:t>
                  </w:r>
                </w:p>
              </w:tc>
            </w:tr>
          </w:tbl>
          <w:p w14:paraId="3C194843" w14:textId="77777777" w:rsidR="00A52704" w:rsidRDefault="00464A26">
            <w:pPr>
              <w:spacing w:after="0"/>
              <w:rPr>
                <w:rFonts w:ascii="Times New Roman" w:hAnsi="Times New Roman"/>
                <w:sz w:val="18"/>
                <w:szCs w:val="18"/>
                <w:lang w:val="en-US"/>
              </w:rPr>
            </w:pPr>
            <w:r>
              <w:rPr>
                <w:rFonts w:ascii="Times New Roman" w:hAnsi="Times New Roman"/>
                <w:sz w:val="18"/>
                <w:szCs w:val="18"/>
                <w:lang w:val="en-US"/>
              </w:rPr>
              <w:t>Take the component 2(</w:t>
            </w:r>
            <w:r>
              <w:rPr>
                <w:rFonts w:ascii="Times New Roman" w:hAnsi="Times New Roman"/>
                <w:i/>
                <w:sz w:val="18"/>
                <w:szCs w:val="18"/>
              </w:rPr>
              <w:t>txSwitchImpactToRx</w:t>
            </w:r>
            <w:r>
              <w:rPr>
                <w:rFonts w:ascii="Times New Roman" w:hAnsi="Times New Roman"/>
                <w:i/>
                <w:sz w:val="18"/>
                <w:szCs w:val="18"/>
                <w:lang w:val="en-US"/>
              </w:rPr>
              <w:t>) as an example</w:t>
            </w:r>
            <w:r>
              <w:rPr>
                <w:rFonts w:ascii="Times New Roman" w:hAnsi="Times New Roman" w:hint="eastAsia"/>
                <w:i/>
                <w:sz w:val="18"/>
                <w:szCs w:val="18"/>
                <w:lang w:val="en-US"/>
              </w:rPr>
              <w:t>, w</w:t>
            </w:r>
            <w:r>
              <w:rPr>
                <w:rFonts w:ascii="Times New Roman" w:hAnsi="Times New Roman"/>
                <w:sz w:val="18"/>
                <w:szCs w:val="18"/>
                <w:lang w:val="en-US"/>
              </w:rPr>
              <w:t>hen the component 2 is set to Yes, the related band shall be indicated. When the component 2 is set to no, which means the uplink Tx switching doesn’t impact to downlink receiving in a band, for this case t</w:t>
            </w:r>
            <w:r>
              <w:rPr>
                <w:rFonts w:ascii="Times New Roman" w:eastAsia="Times New Roman" w:hAnsi="Times New Roman"/>
                <w:sz w:val="18"/>
                <w:szCs w:val="18"/>
                <w:lang w:val="en-US"/>
              </w:rPr>
              <w:t xml:space="preserve">he </w:t>
            </w:r>
            <w:r>
              <w:rPr>
                <w:rFonts w:ascii="Times New Roman" w:eastAsia="Times New Roman" w:hAnsi="Times New Roman"/>
                <w:sz w:val="18"/>
                <w:szCs w:val="18"/>
              </w:rPr>
              <w:t xml:space="preserve">txSwitchImpactToRx </w:t>
            </w:r>
            <w:r>
              <w:rPr>
                <w:rFonts w:ascii="Times New Roman" w:eastAsia="Times New Roman" w:hAnsi="Times New Roman"/>
                <w:sz w:val="18"/>
                <w:szCs w:val="18"/>
                <w:lang w:val="en-US"/>
              </w:rPr>
              <w:t>field will be absent</w:t>
            </w:r>
            <w:r>
              <w:rPr>
                <w:rFonts w:ascii="Times New Roman" w:eastAsia="Times New Roman" w:hAnsi="Times New Roman" w:hint="eastAsia"/>
                <w:sz w:val="18"/>
                <w:szCs w:val="18"/>
                <w:lang w:val="en-US"/>
              </w:rPr>
              <w:t>. Thus, in the current 38.33</w:t>
            </w:r>
            <w:r>
              <w:rPr>
                <w:rFonts w:ascii="Times New Roman" w:hAnsi="Times New Roman" w:hint="eastAsia"/>
                <w:sz w:val="18"/>
                <w:szCs w:val="18"/>
                <w:lang w:val="en-US"/>
              </w:rPr>
              <w:t>1, the</w:t>
            </w:r>
            <w:r>
              <w:rPr>
                <w:rFonts w:ascii="Times New Roman" w:hAnsi="Times New Roman"/>
                <w:sz w:val="18"/>
                <w:szCs w:val="18"/>
                <w:lang w:val="en-US" w:eastAsia="en-GB"/>
              </w:rPr>
              <w:t xml:space="preserve"> supportedSRS-TxPortSwitch </w:t>
            </w:r>
            <w:r>
              <w:rPr>
                <w:rFonts w:ascii="Times New Roman" w:hAnsi="Times New Roman" w:hint="eastAsia"/>
                <w:sz w:val="18"/>
                <w:szCs w:val="18"/>
                <w:lang w:val="en-US"/>
              </w:rPr>
              <w:t xml:space="preserve">is mandatory but the </w:t>
            </w:r>
            <w:r>
              <w:rPr>
                <w:rFonts w:ascii="Times New Roman" w:hAnsi="Times New Roman"/>
                <w:sz w:val="18"/>
                <w:szCs w:val="18"/>
                <w:lang w:val="en-US" w:eastAsia="en-GB"/>
              </w:rPr>
              <w:t>txSwitchImpactToRx</w:t>
            </w:r>
            <w:r>
              <w:rPr>
                <w:rFonts w:ascii="Times New Roman" w:hAnsi="Times New Roman" w:hint="eastAsia"/>
                <w:sz w:val="18"/>
                <w:szCs w:val="18"/>
                <w:lang w:val="en-US"/>
              </w:rPr>
              <w:t xml:space="preserve"> and </w:t>
            </w:r>
            <w:r>
              <w:rPr>
                <w:rFonts w:ascii="Times New Roman" w:hAnsi="Times New Roman"/>
                <w:sz w:val="18"/>
                <w:szCs w:val="18"/>
                <w:lang w:val="en-US" w:eastAsia="en-GB"/>
              </w:rPr>
              <w:t>txSwitchWithAnotherBand</w:t>
            </w:r>
            <w:r>
              <w:rPr>
                <w:rFonts w:ascii="Times New Roman" w:hAnsi="Times New Roman" w:hint="eastAsia"/>
                <w:sz w:val="18"/>
                <w:szCs w:val="18"/>
                <w:lang w:val="en-US"/>
              </w:rPr>
              <w:t xml:space="preserve"> are optional.</w:t>
            </w:r>
          </w:p>
          <w:p w14:paraId="30F5F927"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srs-TxSwitch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640A3C"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supportedSRS-TxPortSwitch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{t1r2, t1r4, t2r4, t1r4-t2r4, t1r1, t2r2, t4r4, notSupported},</w:t>
            </w:r>
          </w:p>
          <w:p w14:paraId="03E97B10"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txSwitchImpactToRx</w:t>
            </w:r>
            <w:r>
              <w:rPr>
                <w:rFonts w:ascii="Courier New" w:hAnsi="Courier New" w:hint="eastAsia"/>
                <w:sz w:val="16"/>
                <w:lang w:val="en-US"/>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F22D16E"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txSwitchWithAnotherBand</w:t>
            </w:r>
            <w:r>
              <w:rPr>
                <w:rFonts w:ascii="Courier New" w:hAnsi="Courier New" w:hint="eastAsia"/>
                <w:sz w:val="16"/>
                <w:lang w:val="en-US"/>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p>
          <w:p w14:paraId="65C940C6" w14:textId="77777777" w:rsidR="00A52704" w:rsidRDefault="00464A26">
            <w:pPr>
              <w:spacing w:after="0"/>
              <w:rPr>
                <w:rFonts w:ascii="Times New Roman" w:hAnsi="Times New Roman"/>
                <w:sz w:val="18"/>
                <w:szCs w:val="18"/>
                <w:lang w:val="en-US"/>
              </w:rPr>
            </w:pPr>
            <w:r>
              <w:rPr>
                <w:rFonts w:ascii="Times New Roman" w:eastAsia="Times New Roman" w:hAnsi="Times New Roman" w:hint="eastAsia"/>
                <w:sz w:val="18"/>
                <w:szCs w:val="18"/>
                <w:lang w:val="en-US"/>
              </w:rPr>
              <w:t xml:space="preserve"> </w:t>
            </w:r>
          </w:p>
          <w:p w14:paraId="74C6E7A2" w14:textId="77777777" w:rsidR="00A52704" w:rsidRDefault="00464A26">
            <w:pPr>
              <w:spacing w:after="0"/>
              <w:rPr>
                <w:rFonts w:ascii="Times New Roman" w:hAnsi="Times New Roman"/>
                <w:sz w:val="18"/>
                <w:szCs w:val="18"/>
                <w:lang w:val="en-US"/>
              </w:rPr>
            </w:pPr>
            <w:r>
              <w:rPr>
                <w:rFonts w:ascii="Times New Roman" w:hAnsi="Times New Roman"/>
                <w:sz w:val="18"/>
                <w:szCs w:val="18"/>
                <w:lang w:val="en-US"/>
              </w:rPr>
              <w:t xml:space="preserve">Besides, the srs-TxSwitch is mandatory, it doesn’t mean all of the elements in the srs-TxSwitch shall be set to mandatory. </w:t>
            </w:r>
          </w:p>
          <w:p w14:paraId="0DB12DC9" w14:textId="77777777" w:rsidR="00A52704" w:rsidRDefault="00A52704">
            <w:pPr>
              <w:pStyle w:val="B1"/>
              <w:widowControl w:val="0"/>
              <w:ind w:left="0" w:firstLine="0"/>
              <w:rPr>
                <w:rFonts w:ascii="Times New Roman" w:hAnsi="Times New Roman"/>
                <w:sz w:val="18"/>
                <w:szCs w:val="18"/>
                <w:lang w:val="en-US" w:eastAsia="zh-CN"/>
              </w:rPr>
            </w:pPr>
          </w:p>
          <w:p w14:paraId="61363C47" w14:textId="4BDDB2A8" w:rsidR="00A52704" w:rsidRDefault="00464A26">
            <w:pPr>
              <w:pStyle w:val="B1"/>
              <w:widowControl w:val="0"/>
              <w:rPr>
                <w:rFonts w:cs="Arial"/>
                <w:iCs/>
                <w:sz w:val="18"/>
                <w:szCs w:val="18"/>
              </w:rPr>
            </w:pPr>
            <w:r>
              <w:rPr>
                <w:rFonts w:cs="Arial"/>
                <w:sz w:val="18"/>
                <w:szCs w:val="18"/>
              </w:rPr>
              <w:t>-</w:t>
            </w:r>
            <w:r>
              <w:rPr>
                <w:rFonts w:cs="Arial"/>
                <w:sz w:val="18"/>
                <w:szCs w:val="18"/>
              </w:rPr>
              <w:tab/>
            </w:r>
            <w:r>
              <w:rPr>
                <w:rFonts w:cs="Arial"/>
                <w:i/>
                <w:sz w:val="18"/>
                <w:szCs w:val="18"/>
              </w:rPr>
              <w:t>txSwitchImpactToRx</w:t>
            </w:r>
            <w:r>
              <w:rPr>
                <w:rFonts w:cs="Arial"/>
                <w:sz w:val="18"/>
                <w:szCs w:val="18"/>
              </w:rPr>
              <w:t xml:space="preserve"> indicates the entry number of the first-listed band with UL in the band combination that affects </w:t>
            </w:r>
            <w:r>
              <w:rPr>
                <w:rFonts w:cs="Arial" w:hint="eastAsia"/>
                <w:sz w:val="18"/>
                <w:szCs w:val="18"/>
                <w:lang w:val="en-US" w:eastAsia="zh-CN"/>
              </w:rPr>
              <w:t>t</w:t>
            </w:r>
            <w:r>
              <w:rPr>
                <w:rFonts w:cs="Arial"/>
                <w:sz w:val="18"/>
                <w:szCs w:val="18"/>
              </w:rPr>
              <w:t xml:space="preserve">his DL, which is </w:t>
            </w:r>
            <w:r>
              <w:rPr>
                <w:rFonts w:cs="Arial" w:hint="eastAsia"/>
                <w:sz w:val="18"/>
                <w:szCs w:val="18"/>
                <w:lang w:val="en-US" w:eastAsia="zh-CN"/>
              </w:rPr>
              <w:t>optional</w:t>
            </w:r>
            <w:r>
              <w:rPr>
                <w:rFonts w:cs="Arial"/>
                <w:sz w:val="18"/>
                <w:szCs w:val="18"/>
              </w:rPr>
              <w:t xml:space="preserve"> to report. It applies to SRS Tx port switching pattern reported in both </w:t>
            </w:r>
            <w:r>
              <w:rPr>
                <w:rFonts w:cs="Arial"/>
                <w:i/>
                <w:sz w:val="18"/>
                <w:szCs w:val="18"/>
              </w:rPr>
              <w:t>supportedSRS-TxPortSwitch</w:t>
            </w:r>
            <w:r>
              <w:rPr>
                <w:rFonts w:cs="Arial"/>
                <w:iCs/>
                <w:sz w:val="18"/>
                <w:szCs w:val="18"/>
              </w:rPr>
              <w:t xml:space="preserve"> and </w:t>
            </w:r>
            <w:r>
              <w:rPr>
                <w:rFonts w:cs="Arial"/>
                <w:i/>
                <w:sz w:val="18"/>
                <w:szCs w:val="18"/>
              </w:rPr>
              <w:t xml:space="preserve">supportedSRS-TxPortSwitch-r16 </w:t>
            </w:r>
            <w:r>
              <w:rPr>
                <w:rFonts w:cs="Arial"/>
                <w:iCs/>
                <w:sz w:val="18"/>
                <w:szCs w:val="18"/>
              </w:rPr>
              <w:t>if reported.</w:t>
            </w:r>
          </w:p>
          <w:p w14:paraId="78B35BD6" w14:textId="2A4B9671" w:rsidR="00A52704" w:rsidRDefault="00464A26">
            <w:pPr>
              <w:pStyle w:val="B1"/>
              <w:widowControl w:val="0"/>
              <w:rPr>
                <w:lang w:val="en-US" w:eastAsia="zh-CN"/>
              </w:rPr>
            </w:pPr>
            <w:r>
              <w:rPr>
                <w:rFonts w:cs="Arial"/>
                <w:sz w:val="18"/>
                <w:szCs w:val="18"/>
              </w:rPr>
              <w:t>-</w:t>
            </w:r>
            <w:r>
              <w:rPr>
                <w:rFonts w:cs="Arial"/>
                <w:sz w:val="18"/>
                <w:szCs w:val="18"/>
              </w:rPr>
              <w:tab/>
            </w:r>
            <w:r>
              <w:rPr>
                <w:rFonts w:cs="Arial"/>
                <w:i/>
                <w:sz w:val="18"/>
                <w:szCs w:val="18"/>
              </w:rPr>
              <w:t>txSwitchWithAnotherBand</w:t>
            </w:r>
            <w:r>
              <w:rPr>
                <w:rFonts w:cs="Arial"/>
                <w:sz w:val="18"/>
                <w:szCs w:val="18"/>
              </w:rPr>
              <w:t xml:space="preserve"> indicates the entry number of the first-listed band with UL in the band combination that switches together with this UL, which is </w:t>
            </w:r>
            <w:r>
              <w:rPr>
                <w:rFonts w:cs="Arial" w:hint="eastAsia"/>
                <w:sz w:val="18"/>
                <w:szCs w:val="18"/>
                <w:lang w:val="en-US" w:eastAsia="zh-CN"/>
              </w:rPr>
              <w:t xml:space="preserve">optional </w:t>
            </w:r>
            <w:r>
              <w:rPr>
                <w:rFonts w:cs="Arial"/>
                <w:sz w:val="18"/>
                <w:szCs w:val="18"/>
              </w:rPr>
              <w:t xml:space="preserve">to report. It applies to SRS Tx port switching pattern reported in both </w:t>
            </w:r>
            <w:r>
              <w:rPr>
                <w:rFonts w:cs="Arial"/>
                <w:i/>
                <w:sz w:val="18"/>
                <w:szCs w:val="18"/>
              </w:rPr>
              <w:t>supportedSRS-TxPortSwitch</w:t>
            </w:r>
            <w:r>
              <w:rPr>
                <w:rFonts w:cs="Arial"/>
                <w:iCs/>
                <w:sz w:val="18"/>
                <w:szCs w:val="18"/>
              </w:rPr>
              <w:t xml:space="preserve"> and </w:t>
            </w:r>
            <w:r>
              <w:rPr>
                <w:rFonts w:cs="Arial"/>
                <w:i/>
                <w:sz w:val="18"/>
                <w:szCs w:val="18"/>
              </w:rPr>
              <w:t xml:space="preserve">supportedSRS-TxPortSwitch-r16 </w:t>
            </w:r>
            <w:r>
              <w:rPr>
                <w:rFonts w:cs="Arial"/>
                <w:iCs/>
                <w:sz w:val="18"/>
                <w:szCs w:val="18"/>
              </w:rPr>
              <w:t>if reported.</w:t>
            </w:r>
          </w:p>
        </w:tc>
      </w:tr>
      <w:tr w:rsidR="00A52704" w14:paraId="2FE3EA73" w14:textId="77777777">
        <w:tc>
          <w:tcPr>
            <w:tcW w:w="1101" w:type="dxa"/>
          </w:tcPr>
          <w:p w14:paraId="3EAA7A93" w14:textId="77777777" w:rsidR="00A52704" w:rsidRDefault="00513980">
            <w:pPr>
              <w:spacing w:after="0"/>
            </w:pPr>
            <w:r>
              <w:t>Ericsson</w:t>
            </w:r>
          </w:p>
        </w:tc>
        <w:tc>
          <w:tcPr>
            <w:tcW w:w="2268" w:type="dxa"/>
          </w:tcPr>
          <w:p w14:paraId="2D2D3CE9" w14:textId="77777777" w:rsidR="00A52704" w:rsidRDefault="00513980">
            <w:pPr>
              <w:spacing w:after="0"/>
            </w:pPr>
            <w:r>
              <w:t>Yes. Approach 1</w:t>
            </w:r>
          </w:p>
        </w:tc>
        <w:tc>
          <w:tcPr>
            <w:tcW w:w="6486" w:type="dxa"/>
          </w:tcPr>
          <w:p w14:paraId="3B867283" w14:textId="77777777" w:rsidR="00A52704" w:rsidRDefault="00513980">
            <w:pPr>
              <w:spacing w:after="0"/>
            </w:pPr>
            <w:r>
              <w:t>Perhaps 1B is more explicit and safer than 1A.</w:t>
            </w:r>
          </w:p>
        </w:tc>
      </w:tr>
    </w:tbl>
    <w:p w14:paraId="55A615F8" w14:textId="77777777" w:rsidR="00A52704" w:rsidRDefault="00A52704"/>
    <w:p w14:paraId="5FA59CEA" w14:textId="77777777" w:rsidR="00A52704" w:rsidRDefault="00464A26">
      <w:pPr>
        <w:pStyle w:val="2"/>
      </w:pPr>
      <w:r>
        <w:rPr>
          <w:rFonts w:hint="eastAsia"/>
        </w:rPr>
        <w:t>I</w:t>
      </w:r>
      <w:r>
        <w:t>ssue-2: How to handle the</w:t>
      </w:r>
      <w:r>
        <w:rPr>
          <w:i/>
          <w:iCs/>
        </w:rPr>
        <w:t xml:space="preserve"> txSwitchImpactToRx</w:t>
      </w:r>
      <w:r>
        <w:t xml:space="preserve"> and </w:t>
      </w:r>
      <w:r>
        <w:rPr>
          <w:i/>
          <w:iCs/>
        </w:rPr>
        <w:t>txSwitchWithAnotherBand</w:t>
      </w:r>
    </w:p>
    <w:p w14:paraId="6F81A455" w14:textId="77777777" w:rsidR="00A52704" w:rsidRDefault="00464A26">
      <w:pPr>
        <w:rPr>
          <w:rFonts w:cs="Arial"/>
          <w:iCs/>
          <w:sz w:val="18"/>
          <w:szCs w:val="18"/>
        </w:rPr>
      </w:pPr>
      <w:r>
        <w:rPr>
          <w:rFonts w:cs="Arial" w:hint="eastAsia"/>
          <w:iCs/>
          <w:sz w:val="18"/>
          <w:szCs w:val="18"/>
        </w:rPr>
        <w:t>S</w:t>
      </w:r>
      <w:r>
        <w:rPr>
          <w:rFonts w:cs="Arial"/>
          <w:iCs/>
          <w:sz w:val="18"/>
          <w:szCs w:val="18"/>
        </w:rPr>
        <w:t xml:space="preserve">ince </w:t>
      </w:r>
      <w:r>
        <w:rPr>
          <w:rFonts w:cs="Arial"/>
          <w:i/>
          <w:sz w:val="18"/>
          <w:szCs w:val="18"/>
        </w:rPr>
        <w:t>SRS-TxSwitch</w:t>
      </w:r>
      <w:r>
        <w:rPr>
          <w:rFonts w:cs="Arial"/>
          <w:iCs/>
          <w:sz w:val="18"/>
          <w:szCs w:val="18"/>
        </w:rPr>
        <w:t xml:space="preserve"> relate to 3 sub-field, i.e., </w:t>
      </w:r>
      <w:r>
        <w:rPr>
          <w:rFonts w:cs="Arial"/>
          <w:i/>
          <w:sz w:val="18"/>
          <w:szCs w:val="18"/>
        </w:rPr>
        <w:t>supportedSRS-TxPortSwitch</w:t>
      </w:r>
      <w:r>
        <w:rPr>
          <w:rFonts w:cs="Arial"/>
          <w:iCs/>
          <w:sz w:val="18"/>
          <w:szCs w:val="18"/>
        </w:rPr>
        <w:t xml:space="preserve"> which has been addressed in the incoming LS and the issue-1 above, it is FFS on how to interpret the other two impacts for the down-grading SRS Tx switching pattern reported via R16 IE.</w:t>
      </w:r>
    </w:p>
    <w:p w14:paraId="5B8A3D39" w14:textId="77777777" w:rsidR="00A52704" w:rsidRDefault="00464A26">
      <w:pPr>
        <w:rPr>
          <w:rFonts w:cs="Arial"/>
          <w:iCs/>
          <w:sz w:val="18"/>
          <w:szCs w:val="18"/>
        </w:rPr>
      </w:pPr>
      <w:r>
        <w:rPr>
          <w:rFonts w:cs="Arial" w:hint="eastAsia"/>
          <w:b/>
          <w:bCs/>
          <w:iCs/>
          <w:sz w:val="18"/>
          <w:szCs w:val="18"/>
        </w:rPr>
        <w:t>A</w:t>
      </w:r>
      <w:r>
        <w:rPr>
          <w:rFonts w:cs="Arial"/>
          <w:b/>
          <w:bCs/>
          <w:iCs/>
          <w:sz w:val="18"/>
          <w:szCs w:val="18"/>
        </w:rPr>
        <w:t>pproach-1</w:t>
      </w:r>
      <w:r>
        <w:rPr>
          <w:rFonts w:cs="Arial"/>
          <w:iCs/>
          <w:sz w:val="18"/>
          <w:szCs w:val="18"/>
        </w:rPr>
        <w:t xml:space="preserve">: As indicated in OPPO paper </w:t>
      </w:r>
      <w:r>
        <w:rPr>
          <w:rFonts w:cs="Arial"/>
          <w:iCs/>
          <w:sz w:val="18"/>
          <w:szCs w:val="18"/>
        </w:rPr>
        <w:fldChar w:fldCharType="begin"/>
      </w:r>
      <w:r>
        <w:rPr>
          <w:rFonts w:cs="Arial"/>
          <w:iCs/>
          <w:sz w:val="18"/>
          <w:szCs w:val="18"/>
        </w:rPr>
        <w:instrText xml:space="preserve"> REF _Ref33473679 \r \h </w:instrText>
      </w:r>
      <w:r>
        <w:rPr>
          <w:rFonts w:cs="Arial"/>
          <w:iCs/>
          <w:sz w:val="18"/>
          <w:szCs w:val="18"/>
        </w:rPr>
      </w:r>
      <w:r>
        <w:rPr>
          <w:rFonts w:cs="Arial"/>
          <w:iCs/>
          <w:sz w:val="18"/>
          <w:szCs w:val="18"/>
        </w:rPr>
        <w:fldChar w:fldCharType="separate"/>
      </w:r>
      <w:r>
        <w:rPr>
          <w:rFonts w:cs="Arial"/>
          <w:iCs/>
          <w:sz w:val="18"/>
          <w:szCs w:val="18"/>
        </w:rPr>
        <w:t>[1]</w:t>
      </w:r>
      <w:r>
        <w:rPr>
          <w:rFonts w:cs="Arial"/>
          <w:iCs/>
          <w:sz w:val="18"/>
          <w:szCs w:val="18"/>
        </w:rPr>
        <w:fldChar w:fldCharType="end"/>
      </w:r>
      <w:r>
        <w:rPr>
          <w:rFonts w:cs="Arial"/>
          <w:iCs/>
          <w:sz w:val="18"/>
          <w:szCs w:val="18"/>
        </w:rPr>
        <w:fldChar w:fldCharType="begin"/>
      </w:r>
      <w:r>
        <w:rPr>
          <w:rFonts w:cs="Arial"/>
          <w:iCs/>
          <w:sz w:val="18"/>
          <w:szCs w:val="18"/>
        </w:rPr>
        <w:instrText xml:space="preserve"> REF _Ref33473292 \r \h </w:instrText>
      </w:r>
      <w:r>
        <w:rPr>
          <w:rFonts w:cs="Arial"/>
          <w:iCs/>
          <w:sz w:val="18"/>
          <w:szCs w:val="18"/>
        </w:rPr>
      </w:r>
      <w:r>
        <w:rPr>
          <w:rFonts w:cs="Arial"/>
          <w:iCs/>
          <w:sz w:val="18"/>
          <w:szCs w:val="18"/>
        </w:rPr>
        <w:fldChar w:fldCharType="separate"/>
      </w:r>
      <w:r>
        <w:rPr>
          <w:rFonts w:cs="Arial"/>
          <w:iCs/>
          <w:sz w:val="18"/>
          <w:szCs w:val="18"/>
        </w:rPr>
        <w:t>[2]</w:t>
      </w:r>
      <w:r>
        <w:rPr>
          <w:rFonts w:cs="Arial"/>
          <w:iCs/>
          <w:sz w:val="18"/>
          <w:szCs w:val="18"/>
        </w:rPr>
        <w:fldChar w:fldCharType="end"/>
      </w:r>
      <w:r>
        <w:rPr>
          <w:rFonts w:cs="Arial"/>
          <w:iCs/>
          <w:sz w:val="18"/>
          <w:szCs w:val="18"/>
        </w:rPr>
        <w:t>, nothing is introduced into 38.331, but add some text in 38.306 to clarify that the reported R15 field is applicable to down-grading configuration as well</w:t>
      </w:r>
    </w:p>
    <w:p w14:paraId="615BA6B8" w14:textId="77777777" w:rsidR="00A52704" w:rsidRDefault="00464A26">
      <w:pPr>
        <w:pStyle w:val="B1"/>
        <w:widowControl w:val="0"/>
        <w:pBdr>
          <w:top w:val="single" w:sz="4" w:space="1" w:color="auto"/>
          <w:left w:val="single" w:sz="4" w:space="4" w:color="auto"/>
          <w:bottom w:val="single" w:sz="4" w:space="1" w:color="auto"/>
          <w:right w:val="single" w:sz="4" w:space="4" w:color="auto"/>
        </w:pBdr>
        <w:ind w:left="0" w:firstLine="0"/>
        <w:rPr>
          <w:rFonts w:cs="Arial"/>
          <w:iCs/>
          <w:sz w:val="18"/>
          <w:szCs w:val="18"/>
        </w:rPr>
      </w:pPr>
      <w:r>
        <w:rPr>
          <w:rFonts w:cs="Arial"/>
          <w:sz w:val="18"/>
          <w:szCs w:val="18"/>
        </w:rPr>
        <w:t>-</w:t>
      </w:r>
      <w:r>
        <w:rPr>
          <w:rFonts w:cs="Arial"/>
          <w:sz w:val="18"/>
          <w:szCs w:val="18"/>
        </w:rPr>
        <w:tab/>
      </w:r>
      <w:r>
        <w:rPr>
          <w:rFonts w:cs="Arial"/>
          <w:i/>
          <w:sz w:val="18"/>
          <w:szCs w:val="18"/>
        </w:rPr>
        <w:t>txSwitchImpactToRx</w:t>
      </w:r>
      <w:r>
        <w:rPr>
          <w:rFonts w:cs="Arial"/>
          <w:sz w:val="18"/>
          <w:szCs w:val="18"/>
        </w:rPr>
        <w:t xml:space="preserve"> indicates the entry number of the first-listed band with UL in the band combination that affects this DL, which is mandatory to report. </w:t>
      </w:r>
      <w:r>
        <w:rPr>
          <w:rFonts w:cs="Arial"/>
          <w:sz w:val="18"/>
          <w:szCs w:val="18"/>
          <w:highlight w:val="yellow"/>
        </w:rPr>
        <w:t xml:space="preserve">It applies to SRS Tx port switching pattern reported in both  </w:t>
      </w:r>
      <w:r>
        <w:rPr>
          <w:rFonts w:cs="Arial"/>
          <w:i/>
          <w:sz w:val="18"/>
          <w:szCs w:val="18"/>
          <w:highlight w:val="yellow"/>
        </w:rPr>
        <w:t>supportedSRS-TxPortSwitch</w:t>
      </w:r>
      <w:r>
        <w:rPr>
          <w:rFonts w:cs="Arial"/>
          <w:iCs/>
          <w:sz w:val="18"/>
          <w:szCs w:val="18"/>
          <w:highlight w:val="yellow"/>
        </w:rPr>
        <w:t xml:space="preserve"> and </w:t>
      </w:r>
      <w:r>
        <w:rPr>
          <w:rFonts w:cs="Arial"/>
          <w:i/>
          <w:sz w:val="18"/>
          <w:szCs w:val="18"/>
          <w:highlight w:val="yellow"/>
        </w:rPr>
        <w:t>supportedSRS-TxPortSwitch-v16xy</w:t>
      </w:r>
      <w:r>
        <w:rPr>
          <w:rFonts w:cs="Arial"/>
          <w:iCs/>
          <w:sz w:val="18"/>
          <w:szCs w:val="18"/>
          <w:highlight w:val="yellow"/>
        </w:rPr>
        <w:t>.</w:t>
      </w:r>
    </w:p>
    <w:p w14:paraId="1417DA15" w14:textId="77777777" w:rsidR="00A52704" w:rsidRDefault="00464A26">
      <w:pPr>
        <w:pStyle w:val="B1"/>
        <w:widowControl w:val="0"/>
        <w:pBdr>
          <w:top w:val="single" w:sz="4" w:space="1" w:color="auto"/>
          <w:left w:val="single" w:sz="4" w:space="4" w:color="auto"/>
          <w:bottom w:val="single" w:sz="4" w:space="1" w:color="auto"/>
          <w:right w:val="single" w:sz="4" w:space="4" w:color="auto"/>
        </w:pBdr>
        <w:ind w:left="0" w:firstLine="0"/>
        <w:rPr>
          <w:rFonts w:cs="Arial"/>
          <w:sz w:val="18"/>
          <w:szCs w:val="18"/>
        </w:rPr>
      </w:pPr>
      <w:r>
        <w:rPr>
          <w:rFonts w:cs="Arial"/>
          <w:sz w:val="18"/>
          <w:szCs w:val="18"/>
        </w:rPr>
        <w:t>-</w:t>
      </w:r>
      <w:r>
        <w:rPr>
          <w:rFonts w:cs="Arial"/>
          <w:sz w:val="18"/>
          <w:szCs w:val="18"/>
        </w:rPr>
        <w:tab/>
      </w:r>
      <w:r>
        <w:rPr>
          <w:rFonts w:cs="Arial"/>
          <w:i/>
          <w:sz w:val="18"/>
          <w:szCs w:val="18"/>
        </w:rPr>
        <w:t>txSwitchWithAnotherBand</w:t>
      </w:r>
      <w:r>
        <w:rPr>
          <w:rFonts w:cs="Arial"/>
          <w:sz w:val="18"/>
          <w:szCs w:val="18"/>
        </w:rPr>
        <w:t xml:space="preserve"> indicates the entry number of the first-listed band with UL in the band combination that switches together with this UL, which is optional to report. </w:t>
      </w:r>
      <w:r>
        <w:rPr>
          <w:rFonts w:cs="Arial"/>
          <w:sz w:val="18"/>
          <w:szCs w:val="18"/>
          <w:highlight w:val="yellow"/>
        </w:rPr>
        <w:t xml:space="preserve">It applies to SRS Tx port switching pattern reported in both  </w:t>
      </w:r>
      <w:r>
        <w:rPr>
          <w:rFonts w:cs="Arial"/>
          <w:i/>
          <w:sz w:val="18"/>
          <w:szCs w:val="18"/>
          <w:highlight w:val="yellow"/>
        </w:rPr>
        <w:t>supportedSRS-TxPortSwitch</w:t>
      </w:r>
      <w:r>
        <w:rPr>
          <w:rFonts w:cs="Arial"/>
          <w:iCs/>
          <w:sz w:val="18"/>
          <w:szCs w:val="18"/>
          <w:highlight w:val="yellow"/>
        </w:rPr>
        <w:t xml:space="preserve"> and </w:t>
      </w:r>
      <w:r>
        <w:rPr>
          <w:rFonts w:cs="Arial"/>
          <w:i/>
          <w:sz w:val="18"/>
          <w:szCs w:val="18"/>
          <w:highlight w:val="yellow"/>
        </w:rPr>
        <w:t>supportedSRS-TxPortSwitch-v16xy</w:t>
      </w:r>
      <w:r>
        <w:rPr>
          <w:rFonts w:cs="Arial"/>
          <w:iCs/>
          <w:sz w:val="18"/>
          <w:szCs w:val="18"/>
          <w:highlight w:val="yellow"/>
        </w:rPr>
        <w:t>.</w:t>
      </w:r>
    </w:p>
    <w:p w14:paraId="7216070E" w14:textId="77777777" w:rsidR="00A52704" w:rsidRDefault="00464A26">
      <w:pPr>
        <w:rPr>
          <w:rFonts w:cs="Arial"/>
          <w:iCs/>
          <w:sz w:val="18"/>
          <w:szCs w:val="18"/>
        </w:rPr>
      </w:pPr>
      <w:r>
        <w:rPr>
          <w:rFonts w:cs="Arial" w:hint="eastAsia"/>
          <w:b/>
          <w:bCs/>
          <w:iCs/>
          <w:sz w:val="18"/>
          <w:szCs w:val="18"/>
        </w:rPr>
        <w:t>A</w:t>
      </w:r>
      <w:r>
        <w:rPr>
          <w:rFonts w:cs="Arial"/>
          <w:b/>
          <w:bCs/>
          <w:iCs/>
          <w:sz w:val="18"/>
          <w:szCs w:val="18"/>
        </w:rPr>
        <w:t>pproach-2</w:t>
      </w:r>
      <w:r>
        <w:rPr>
          <w:rFonts w:cs="Arial"/>
          <w:iCs/>
          <w:sz w:val="18"/>
          <w:szCs w:val="18"/>
        </w:rPr>
        <w:t xml:space="preserve">: As indicated in Intel paper </w:t>
      </w:r>
      <w:r>
        <w:rPr>
          <w:rFonts w:cs="Arial"/>
          <w:iCs/>
          <w:sz w:val="18"/>
          <w:szCs w:val="18"/>
        </w:rPr>
        <w:fldChar w:fldCharType="begin"/>
      </w:r>
      <w:r>
        <w:rPr>
          <w:rFonts w:cs="Arial"/>
          <w:iCs/>
          <w:sz w:val="18"/>
          <w:szCs w:val="18"/>
        </w:rPr>
        <w:instrText xml:space="preserve"> REF _Ref33473347 \r \h </w:instrText>
      </w:r>
      <w:r>
        <w:rPr>
          <w:rFonts w:cs="Arial"/>
          <w:iCs/>
          <w:sz w:val="18"/>
          <w:szCs w:val="18"/>
        </w:rPr>
      </w:r>
      <w:r>
        <w:rPr>
          <w:rFonts w:cs="Arial"/>
          <w:iCs/>
          <w:sz w:val="18"/>
          <w:szCs w:val="18"/>
        </w:rPr>
        <w:fldChar w:fldCharType="separate"/>
      </w:r>
      <w:r>
        <w:rPr>
          <w:rFonts w:cs="Arial"/>
          <w:iCs/>
          <w:sz w:val="18"/>
          <w:szCs w:val="18"/>
        </w:rPr>
        <w:t>[4]</w:t>
      </w:r>
      <w:r>
        <w:rPr>
          <w:rFonts w:cs="Arial"/>
          <w:iCs/>
          <w:sz w:val="18"/>
          <w:szCs w:val="18"/>
        </w:rPr>
        <w:fldChar w:fldCharType="end"/>
      </w:r>
      <w:r>
        <w:rPr>
          <w:rFonts w:cs="Arial"/>
          <w:iCs/>
          <w:sz w:val="18"/>
          <w:szCs w:val="18"/>
        </w:rPr>
        <w:t>-</w:t>
      </w:r>
      <w:r>
        <w:rPr>
          <w:rFonts w:cs="Arial"/>
          <w:iCs/>
          <w:sz w:val="18"/>
          <w:szCs w:val="18"/>
        </w:rPr>
        <w:fldChar w:fldCharType="begin"/>
      </w:r>
      <w:r>
        <w:rPr>
          <w:rFonts w:cs="Arial"/>
          <w:iCs/>
          <w:sz w:val="18"/>
          <w:szCs w:val="18"/>
        </w:rPr>
        <w:instrText xml:space="preserve"> REF _Ref33473691 \r \h </w:instrText>
      </w:r>
      <w:r>
        <w:rPr>
          <w:rFonts w:cs="Arial"/>
          <w:iCs/>
          <w:sz w:val="18"/>
          <w:szCs w:val="18"/>
        </w:rPr>
      </w:r>
      <w:r>
        <w:rPr>
          <w:rFonts w:cs="Arial"/>
          <w:iCs/>
          <w:sz w:val="18"/>
          <w:szCs w:val="18"/>
        </w:rPr>
        <w:fldChar w:fldCharType="separate"/>
      </w:r>
      <w:r>
        <w:rPr>
          <w:rFonts w:cs="Arial"/>
          <w:iCs/>
          <w:sz w:val="18"/>
          <w:szCs w:val="18"/>
        </w:rPr>
        <w:t>[7]</w:t>
      </w:r>
      <w:r>
        <w:rPr>
          <w:rFonts w:cs="Arial"/>
          <w:iCs/>
          <w:sz w:val="18"/>
          <w:szCs w:val="18"/>
        </w:rPr>
        <w:fldChar w:fldCharType="end"/>
      </w:r>
      <w:r>
        <w:rPr>
          <w:rFonts w:cs="Arial"/>
          <w:iCs/>
          <w:sz w:val="18"/>
          <w:szCs w:val="18"/>
        </w:rPr>
        <w:t>, a code-point is introduced into 38.331, to indicate whether the impact would be the same as reported via R15 IEs or not, with [4] explaining the reasons on why the UE may not have switching impact in some cases and how the UE capability signalling can make use of this.</w:t>
      </w:r>
    </w:p>
    <w:p w14:paraId="5219A377" w14:textId="77777777" w:rsidR="00A52704" w:rsidRDefault="00464A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US" w:eastAsia="en-GB"/>
        </w:rPr>
      </w:pPr>
      <w:r>
        <w:rPr>
          <w:rFonts w:ascii="Courier New" w:eastAsia="Times New Roman" w:hAnsi="Courier New"/>
          <w:sz w:val="16"/>
          <w:lang w:val="en-US" w:eastAsia="en-GB"/>
        </w:rPr>
        <w:t xml:space="preserve">        txSwitchImpacted-r16                </w:t>
      </w:r>
      <w:r>
        <w:rPr>
          <w:rFonts w:ascii="Courier New" w:eastAsia="Times New Roman" w:hAnsi="Courier New"/>
          <w:color w:val="993366"/>
          <w:sz w:val="16"/>
          <w:lang w:val="en-US" w:eastAsia="en-GB"/>
        </w:rPr>
        <w:t>ENUMERATED</w:t>
      </w:r>
      <w:r>
        <w:rPr>
          <w:rFonts w:ascii="Courier New" w:eastAsia="Times New Roman" w:hAnsi="Courier New"/>
          <w:sz w:val="16"/>
          <w:lang w:val="en-US" w:eastAsia="en-GB"/>
        </w:rPr>
        <w:t xml:space="preserve"> {sameSwitchingImpact}</w:t>
      </w:r>
      <w:r>
        <w:rPr>
          <w:rFonts w:ascii="Courier New" w:eastAsia="Times New Roman" w:hAnsi="Courier New"/>
          <w:sz w:val="16"/>
          <w:lang w:val="en-US" w:eastAsia="en-GB"/>
        </w:rPr>
        <w:tab/>
      </w:r>
      <w:r>
        <w:rPr>
          <w:rFonts w:ascii="Courier New" w:eastAsia="Times New Roman" w:hAnsi="Courier New"/>
          <w:sz w:val="16"/>
          <w:lang w:val="en-US" w:eastAsia="en-GB"/>
        </w:rPr>
        <w:tab/>
      </w:r>
      <w:r>
        <w:rPr>
          <w:rFonts w:ascii="Courier New" w:eastAsia="Times New Roman" w:hAnsi="Courier New"/>
          <w:sz w:val="16"/>
          <w:lang w:val="en-US" w:eastAsia="en-GB"/>
        </w:rPr>
        <w:tab/>
        <w:t xml:space="preserve"> </w:t>
      </w:r>
      <w:r>
        <w:rPr>
          <w:rFonts w:ascii="Courier New" w:eastAsia="Times New Roman" w:hAnsi="Courier New"/>
          <w:color w:val="993366"/>
          <w:sz w:val="16"/>
          <w:lang w:val="en-US" w:eastAsia="en-GB"/>
        </w:rPr>
        <w:t>OPTIONAL</w:t>
      </w:r>
    </w:p>
    <w:p w14:paraId="3CA0DDFA" w14:textId="77777777" w:rsidR="00A52704" w:rsidRDefault="00464A26">
      <w:pPr>
        <w:rPr>
          <w:rFonts w:cs="Arial"/>
          <w:iCs/>
          <w:sz w:val="18"/>
          <w:szCs w:val="18"/>
        </w:rPr>
      </w:pPr>
      <w:r>
        <w:rPr>
          <w:rFonts w:cs="Arial" w:hint="eastAsia"/>
          <w:iCs/>
          <w:sz w:val="18"/>
          <w:szCs w:val="18"/>
        </w:rPr>
        <w:t>A</w:t>
      </w:r>
      <w:r>
        <w:rPr>
          <w:rFonts w:cs="Arial"/>
          <w:iCs/>
          <w:sz w:val="18"/>
          <w:szCs w:val="18"/>
        </w:rPr>
        <w:t>nd description in 38.306 that</w:t>
      </w:r>
    </w:p>
    <w:p w14:paraId="0270A02F" w14:textId="77777777" w:rsidR="00A52704" w:rsidRDefault="00464A26">
      <w:pPr>
        <w:pStyle w:val="TAL"/>
        <w:pBdr>
          <w:top w:val="single" w:sz="4" w:space="1" w:color="auto"/>
          <w:left w:val="single" w:sz="4" w:space="4" w:color="auto"/>
          <w:bottom w:val="single" w:sz="4" w:space="1" w:color="auto"/>
          <w:right w:val="single" w:sz="4" w:space="4" w:color="auto"/>
        </w:pBdr>
        <w:rPr>
          <w:b/>
          <w:bCs/>
          <w:i/>
          <w:iCs/>
          <w:szCs w:val="18"/>
        </w:rPr>
      </w:pPr>
      <w:r>
        <w:rPr>
          <w:b/>
          <w:bCs/>
          <w:i/>
          <w:iCs/>
          <w:szCs w:val="18"/>
        </w:rPr>
        <w:lastRenderedPageBreak/>
        <w:t>txSwitchImpacted</w:t>
      </w:r>
    </w:p>
    <w:p w14:paraId="35BDCED1" w14:textId="77777777" w:rsidR="00A52704" w:rsidRDefault="00464A26">
      <w:pPr>
        <w:pBdr>
          <w:top w:val="single" w:sz="4" w:space="1" w:color="auto"/>
          <w:left w:val="single" w:sz="4" w:space="4" w:color="auto"/>
          <w:bottom w:val="single" w:sz="4" w:space="1" w:color="auto"/>
          <w:right w:val="single" w:sz="4" w:space="4" w:color="auto"/>
        </w:pBdr>
        <w:rPr>
          <w:rFonts w:cs="Arial"/>
          <w:iCs/>
          <w:sz w:val="18"/>
          <w:szCs w:val="18"/>
        </w:rPr>
      </w:pPr>
      <w:r>
        <w:rPr>
          <w:sz w:val="18"/>
          <w:szCs w:val="18"/>
          <w:lang w:eastAsia="en-GB"/>
        </w:rPr>
        <w:t xml:space="preserve">Indicates </w:t>
      </w:r>
      <w:r>
        <w:rPr>
          <w:rFonts w:cs="Arial"/>
          <w:sz w:val="18"/>
          <w:szCs w:val="18"/>
        </w:rPr>
        <w:t xml:space="preserve">whether the UE has the same switching impact as reported using </w:t>
      </w:r>
      <w:r>
        <w:rPr>
          <w:rFonts w:cs="Arial"/>
          <w:i/>
          <w:sz w:val="18"/>
          <w:szCs w:val="18"/>
        </w:rPr>
        <w:t xml:space="preserve">txSwitchImpactToRx </w:t>
      </w:r>
      <w:r>
        <w:rPr>
          <w:rFonts w:cs="Arial"/>
          <w:iCs/>
          <w:sz w:val="18"/>
          <w:szCs w:val="18"/>
        </w:rPr>
        <w:t xml:space="preserve">and </w:t>
      </w:r>
      <w:r>
        <w:rPr>
          <w:rFonts w:cs="Arial"/>
          <w:i/>
          <w:sz w:val="18"/>
          <w:szCs w:val="18"/>
        </w:rPr>
        <w:t>txSwitchWithAnotherBand</w:t>
      </w:r>
      <w:r>
        <w:rPr>
          <w:rFonts w:cs="Arial"/>
          <w:sz w:val="18"/>
          <w:szCs w:val="18"/>
        </w:rPr>
        <w:t xml:space="preserve"> when configured with downgrading configuration of SRS for antenna switching</w:t>
      </w:r>
      <w:r>
        <w:rPr>
          <w:rFonts w:cs="Arial"/>
          <w:i/>
          <w:iCs/>
          <w:sz w:val="18"/>
          <w:szCs w:val="18"/>
        </w:rPr>
        <w:t xml:space="preserve">. </w:t>
      </w:r>
      <w:r>
        <w:rPr>
          <w:rFonts w:cs="Arial"/>
          <w:sz w:val="18"/>
          <w:szCs w:val="18"/>
        </w:rPr>
        <w:t>If the field is absent, there is no switching interruption impact at the UE when configured with downgrading configuration of SRS for antenna switching.</w:t>
      </w:r>
    </w:p>
    <w:p w14:paraId="4DB3F40E" w14:textId="77777777" w:rsidR="00A52704" w:rsidRDefault="00A52704">
      <w:pPr>
        <w:rPr>
          <w:rFonts w:cs="Arial"/>
          <w:iCs/>
          <w:sz w:val="18"/>
          <w:szCs w:val="18"/>
        </w:rPr>
      </w:pPr>
    </w:p>
    <w:p w14:paraId="0BA69C8C" w14:textId="77777777" w:rsidR="00A52704" w:rsidRDefault="00464A26">
      <w:pPr>
        <w:rPr>
          <w:rFonts w:cs="Arial"/>
          <w:b/>
          <w:bCs/>
          <w:iCs/>
          <w:sz w:val="18"/>
          <w:szCs w:val="18"/>
        </w:rPr>
      </w:pPr>
      <w:r>
        <w:rPr>
          <w:rFonts w:cs="Arial" w:hint="eastAsia"/>
          <w:b/>
          <w:bCs/>
          <w:iCs/>
          <w:sz w:val="18"/>
          <w:szCs w:val="18"/>
        </w:rPr>
        <w:t>Q</w:t>
      </w:r>
      <w:r>
        <w:rPr>
          <w:rFonts w:cs="Arial"/>
          <w:b/>
          <w:bCs/>
          <w:iCs/>
          <w:sz w:val="18"/>
          <w:szCs w:val="18"/>
        </w:rPr>
        <w:t>uestion-2: in order to clarify the capability of txSwitchImpactToRx and txSwitchWithAnotherBand for the down-grading configuration, which approach is preferred?</w:t>
      </w:r>
    </w:p>
    <w:p w14:paraId="11D06A13" w14:textId="77777777" w:rsidR="00A52704" w:rsidRDefault="00464A26">
      <w:pPr>
        <w:numPr>
          <w:ilvl w:val="0"/>
          <w:numId w:val="12"/>
        </w:numPr>
        <w:rPr>
          <w:rFonts w:cs="Arial"/>
          <w:b/>
          <w:bCs/>
          <w:iCs/>
          <w:sz w:val="18"/>
          <w:szCs w:val="18"/>
        </w:rPr>
      </w:pPr>
      <w:r>
        <w:rPr>
          <w:rFonts w:cs="Arial"/>
          <w:b/>
          <w:bCs/>
          <w:iCs/>
          <w:sz w:val="18"/>
          <w:szCs w:val="18"/>
        </w:rPr>
        <w:t xml:space="preserve">Approach-1, As indicated in OPPO paper </w:t>
      </w:r>
      <w:r>
        <w:rPr>
          <w:rFonts w:cs="Arial"/>
          <w:b/>
          <w:bCs/>
          <w:iCs/>
          <w:sz w:val="18"/>
          <w:szCs w:val="18"/>
        </w:rPr>
        <w:fldChar w:fldCharType="begin"/>
      </w:r>
      <w:r>
        <w:rPr>
          <w:rFonts w:cs="Arial"/>
          <w:b/>
          <w:bCs/>
          <w:iCs/>
          <w:sz w:val="18"/>
          <w:szCs w:val="18"/>
        </w:rPr>
        <w:instrText xml:space="preserve"> REF _Ref33473679 \r \h  \* MERGEFORMAT </w:instrText>
      </w:r>
      <w:r>
        <w:rPr>
          <w:rFonts w:cs="Arial"/>
          <w:b/>
          <w:bCs/>
          <w:iCs/>
          <w:sz w:val="18"/>
          <w:szCs w:val="18"/>
        </w:rPr>
      </w:r>
      <w:r>
        <w:rPr>
          <w:rFonts w:cs="Arial"/>
          <w:b/>
          <w:bCs/>
          <w:iCs/>
          <w:sz w:val="18"/>
          <w:szCs w:val="18"/>
        </w:rPr>
        <w:fldChar w:fldCharType="separate"/>
      </w:r>
      <w:r>
        <w:rPr>
          <w:rFonts w:cs="Arial"/>
          <w:b/>
          <w:bCs/>
          <w:iCs/>
          <w:sz w:val="18"/>
          <w:szCs w:val="18"/>
        </w:rPr>
        <w:t>[1]</w:t>
      </w:r>
      <w:r>
        <w:rPr>
          <w:rFonts w:cs="Arial"/>
          <w:b/>
          <w:bCs/>
          <w:iCs/>
          <w:sz w:val="18"/>
          <w:szCs w:val="18"/>
        </w:rPr>
        <w:fldChar w:fldCharType="end"/>
      </w:r>
      <w:r>
        <w:rPr>
          <w:rFonts w:cs="Arial"/>
          <w:b/>
          <w:bCs/>
          <w:iCs/>
          <w:sz w:val="18"/>
          <w:szCs w:val="18"/>
        </w:rPr>
        <w:fldChar w:fldCharType="begin"/>
      </w:r>
      <w:r>
        <w:rPr>
          <w:rFonts w:cs="Arial"/>
          <w:b/>
          <w:bCs/>
          <w:iCs/>
          <w:sz w:val="18"/>
          <w:szCs w:val="18"/>
        </w:rPr>
        <w:instrText xml:space="preserve"> REF _Ref33473292 \r \h  \* MERGEFORMAT </w:instrText>
      </w:r>
      <w:r>
        <w:rPr>
          <w:rFonts w:cs="Arial"/>
          <w:b/>
          <w:bCs/>
          <w:iCs/>
          <w:sz w:val="18"/>
          <w:szCs w:val="18"/>
        </w:rPr>
      </w:r>
      <w:r>
        <w:rPr>
          <w:rFonts w:cs="Arial"/>
          <w:b/>
          <w:bCs/>
          <w:iCs/>
          <w:sz w:val="18"/>
          <w:szCs w:val="18"/>
        </w:rPr>
        <w:fldChar w:fldCharType="separate"/>
      </w:r>
      <w:r>
        <w:rPr>
          <w:rFonts w:cs="Arial"/>
          <w:b/>
          <w:bCs/>
          <w:iCs/>
          <w:sz w:val="18"/>
          <w:szCs w:val="18"/>
        </w:rPr>
        <w:t>[2]</w:t>
      </w:r>
      <w:r>
        <w:rPr>
          <w:rFonts w:cs="Arial"/>
          <w:b/>
          <w:bCs/>
          <w:iCs/>
          <w:sz w:val="18"/>
          <w:szCs w:val="18"/>
        </w:rPr>
        <w:fldChar w:fldCharType="end"/>
      </w:r>
    </w:p>
    <w:p w14:paraId="03820BC2" w14:textId="77777777" w:rsidR="00A52704" w:rsidRDefault="00464A26">
      <w:pPr>
        <w:numPr>
          <w:ilvl w:val="0"/>
          <w:numId w:val="12"/>
        </w:numPr>
        <w:rPr>
          <w:rFonts w:cs="Arial"/>
          <w:b/>
          <w:bCs/>
          <w:iCs/>
          <w:sz w:val="18"/>
          <w:szCs w:val="18"/>
        </w:rPr>
      </w:pPr>
      <w:r>
        <w:rPr>
          <w:rFonts w:cs="Arial" w:hint="eastAsia"/>
          <w:b/>
          <w:bCs/>
          <w:iCs/>
          <w:sz w:val="18"/>
          <w:szCs w:val="18"/>
        </w:rPr>
        <w:t>A</w:t>
      </w:r>
      <w:r>
        <w:rPr>
          <w:rFonts w:cs="Arial"/>
          <w:b/>
          <w:bCs/>
          <w:iCs/>
          <w:sz w:val="18"/>
          <w:szCs w:val="18"/>
        </w:rPr>
        <w:t xml:space="preserve">pproach-2, As indicated in Intel paper </w:t>
      </w:r>
      <w:r>
        <w:rPr>
          <w:rFonts w:cs="Arial"/>
          <w:b/>
          <w:bCs/>
          <w:iCs/>
          <w:sz w:val="18"/>
          <w:szCs w:val="18"/>
        </w:rPr>
        <w:fldChar w:fldCharType="begin"/>
      </w:r>
      <w:r>
        <w:rPr>
          <w:rFonts w:cs="Arial"/>
          <w:b/>
          <w:bCs/>
          <w:iCs/>
          <w:sz w:val="18"/>
          <w:szCs w:val="18"/>
        </w:rPr>
        <w:instrText xml:space="preserve"> REF _Ref33473347 \r \h  \* MERGEFORMAT </w:instrText>
      </w:r>
      <w:r>
        <w:rPr>
          <w:rFonts w:cs="Arial"/>
          <w:b/>
          <w:bCs/>
          <w:iCs/>
          <w:sz w:val="18"/>
          <w:szCs w:val="18"/>
        </w:rPr>
      </w:r>
      <w:r>
        <w:rPr>
          <w:rFonts w:cs="Arial"/>
          <w:b/>
          <w:bCs/>
          <w:iCs/>
          <w:sz w:val="18"/>
          <w:szCs w:val="18"/>
        </w:rPr>
        <w:fldChar w:fldCharType="separate"/>
      </w:r>
      <w:r>
        <w:rPr>
          <w:rFonts w:cs="Arial"/>
          <w:b/>
          <w:bCs/>
          <w:iCs/>
          <w:sz w:val="18"/>
          <w:szCs w:val="18"/>
        </w:rPr>
        <w:t>[4]</w:t>
      </w:r>
      <w:r>
        <w:rPr>
          <w:rFonts w:cs="Arial"/>
          <w:b/>
          <w:bCs/>
          <w:iCs/>
          <w:sz w:val="18"/>
          <w:szCs w:val="18"/>
        </w:rPr>
        <w:fldChar w:fldCharType="end"/>
      </w:r>
      <w:r>
        <w:rPr>
          <w:rFonts w:cs="Arial"/>
          <w:b/>
          <w:bCs/>
          <w:iCs/>
          <w:sz w:val="18"/>
          <w:szCs w:val="18"/>
        </w:rPr>
        <w:t>-</w:t>
      </w:r>
      <w:r>
        <w:rPr>
          <w:rFonts w:cs="Arial"/>
          <w:b/>
          <w:bCs/>
          <w:iCs/>
          <w:sz w:val="18"/>
          <w:szCs w:val="18"/>
        </w:rPr>
        <w:fldChar w:fldCharType="begin"/>
      </w:r>
      <w:r>
        <w:rPr>
          <w:rFonts w:cs="Arial"/>
          <w:b/>
          <w:bCs/>
          <w:iCs/>
          <w:sz w:val="18"/>
          <w:szCs w:val="18"/>
        </w:rPr>
        <w:instrText xml:space="preserve"> REF _Ref33473691 \r \h  \* MERGEFORMAT </w:instrText>
      </w:r>
      <w:r>
        <w:rPr>
          <w:rFonts w:cs="Arial"/>
          <w:b/>
          <w:bCs/>
          <w:iCs/>
          <w:sz w:val="18"/>
          <w:szCs w:val="18"/>
        </w:rPr>
      </w:r>
      <w:r>
        <w:rPr>
          <w:rFonts w:cs="Arial"/>
          <w:b/>
          <w:bCs/>
          <w:iCs/>
          <w:sz w:val="18"/>
          <w:szCs w:val="18"/>
        </w:rPr>
        <w:fldChar w:fldCharType="separate"/>
      </w:r>
      <w:r>
        <w:rPr>
          <w:rFonts w:cs="Arial"/>
          <w:b/>
          <w:bCs/>
          <w:iCs/>
          <w:sz w:val="18"/>
          <w:szCs w:val="18"/>
        </w:rPr>
        <w:t>[7]</w:t>
      </w:r>
      <w:r>
        <w:rPr>
          <w:rFonts w:cs="Arial"/>
          <w:b/>
          <w:bCs/>
          <w:iCs/>
          <w:sz w:val="18"/>
          <w:szCs w:val="18"/>
        </w:rPr>
        <w:fldChar w:fldCharType="end"/>
      </w:r>
    </w:p>
    <w:p w14:paraId="2F09D570" w14:textId="77777777" w:rsidR="00A52704" w:rsidRDefault="00464A26">
      <w:pPr>
        <w:numPr>
          <w:ilvl w:val="0"/>
          <w:numId w:val="12"/>
        </w:numPr>
        <w:rPr>
          <w:rFonts w:cs="Arial"/>
          <w:b/>
          <w:bCs/>
          <w:iCs/>
          <w:sz w:val="18"/>
          <w:szCs w:val="18"/>
        </w:rPr>
      </w:pPr>
      <w:r>
        <w:rPr>
          <w:rFonts w:cs="Arial" w:hint="eastAsia"/>
          <w:b/>
          <w:bCs/>
          <w:iCs/>
          <w:sz w:val="18"/>
          <w:szCs w:val="18"/>
        </w:rPr>
        <w:t>O</w:t>
      </w:r>
      <w:r>
        <w:rPr>
          <w:rFonts w:cs="Arial"/>
          <w:b/>
          <w:bCs/>
          <w:iCs/>
          <w:sz w:val="18"/>
          <w:szCs w:val="18"/>
        </w:rPr>
        <w:t>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268"/>
        <w:gridCol w:w="6486"/>
      </w:tblGrid>
      <w:tr w:rsidR="00A52704" w14:paraId="20455B15" w14:textId="77777777">
        <w:tc>
          <w:tcPr>
            <w:tcW w:w="1101" w:type="dxa"/>
            <w:shd w:val="clear" w:color="auto" w:fill="D9D9D9"/>
          </w:tcPr>
          <w:p w14:paraId="274DF9DD" w14:textId="77777777" w:rsidR="00A52704" w:rsidRDefault="00464A26">
            <w:pPr>
              <w:spacing w:after="0"/>
            </w:pPr>
            <w:r>
              <w:rPr>
                <w:rFonts w:hint="eastAsia"/>
              </w:rPr>
              <w:t>Co</w:t>
            </w:r>
            <w:r>
              <w:t>mpany</w:t>
            </w:r>
          </w:p>
        </w:tc>
        <w:tc>
          <w:tcPr>
            <w:tcW w:w="2268" w:type="dxa"/>
            <w:shd w:val="clear" w:color="auto" w:fill="D9D9D9"/>
          </w:tcPr>
          <w:p w14:paraId="75775465" w14:textId="77777777" w:rsidR="00A52704" w:rsidRDefault="00464A26">
            <w:pPr>
              <w:spacing w:after="0"/>
            </w:pPr>
            <w:r>
              <w:t>which approach is preferred</w:t>
            </w:r>
          </w:p>
        </w:tc>
        <w:tc>
          <w:tcPr>
            <w:tcW w:w="6486" w:type="dxa"/>
            <w:shd w:val="clear" w:color="auto" w:fill="D9D9D9"/>
          </w:tcPr>
          <w:p w14:paraId="7DEDA0F9" w14:textId="77777777" w:rsidR="00A52704" w:rsidRDefault="00464A26">
            <w:pPr>
              <w:spacing w:after="0"/>
            </w:pPr>
            <w:r>
              <w:rPr>
                <w:rFonts w:hint="eastAsia"/>
              </w:rPr>
              <w:t>Comments</w:t>
            </w:r>
          </w:p>
        </w:tc>
      </w:tr>
      <w:tr w:rsidR="00A52704" w14:paraId="39534D9A" w14:textId="77777777">
        <w:tc>
          <w:tcPr>
            <w:tcW w:w="1101" w:type="dxa"/>
          </w:tcPr>
          <w:p w14:paraId="1FC3FA64" w14:textId="77777777" w:rsidR="00A52704" w:rsidRDefault="00464A26">
            <w:pPr>
              <w:spacing w:after="0"/>
              <w:rPr>
                <w:rFonts w:eastAsia="Yu Mincho"/>
                <w:lang w:eastAsia="ja-JP"/>
              </w:rPr>
            </w:pPr>
            <w:r>
              <w:rPr>
                <w:rFonts w:eastAsia="Yu Mincho" w:hint="eastAsia"/>
                <w:lang w:eastAsia="ja-JP"/>
              </w:rPr>
              <w:t>Q</w:t>
            </w:r>
            <w:r>
              <w:rPr>
                <w:rFonts w:eastAsia="Yu Mincho"/>
                <w:lang w:eastAsia="ja-JP"/>
              </w:rPr>
              <w:t>ualcomm Incorporated</w:t>
            </w:r>
          </w:p>
        </w:tc>
        <w:tc>
          <w:tcPr>
            <w:tcW w:w="2268" w:type="dxa"/>
          </w:tcPr>
          <w:p w14:paraId="3C6985ED" w14:textId="77777777" w:rsidR="00A52704" w:rsidRDefault="00A52704">
            <w:pPr>
              <w:spacing w:after="0"/>
              <w:rPr>
                <w:rFonts w:eastAsia="Malgun Gothic"/>
                <w:lang w:eastAsia="ko-KR"/>
              </w:rPr>
            </w:pPr>
          </w:p>
        </w:tc>
        <w:tc>
          <w:tcPr>
            <w:tcW w:w="6486" w:type="dxa"/>
          </w:tcPr>
          <w:p w14:paraId="3743A665" w14:textId="77777777" w:rsidR="00A52704" w:rsidRDefault="00464A26">
            <w:pPr>
              <w:spacing w:after="0"/>
              <w:rPr>
                <w:rFonts w:eastAsia="Yu Mincho"/>
                <w:lang w:eastAsia="ja-JP"/>
              </w:rPr>
            </w:pPr>
            <w:r>
              <w:rPr>
                <w:rFonts w:eastAsia="Yu Mincho"/>
                <w:lang w:eastAsia="ja-JP"/>
              </w:rPr>
              <w:t>RAN1 LS is completely silent about the "UL / DL band switch together" capabilities, and so it seems that the current capabilities should apply by default. However we would like to hear more explanations from Intel as to why they think it is “</w:t>
            </w:r>
            <w:r>
              <w:rPr>
                <w:rFonts w:eastAsia="Yu Mincho"/>
                <w:i/>
                <w:iCs/>
                <w:lang w:eastAsia="ja-JP"/>
              </w:rPr>
              <w:t>either the original switching impact remains, or none</w:t>
            </w:r>
            <w:r>
              <w:rPr>
                <w:rFonts w:eastAsia="Yu Mincho"/>
                <w:lang w:eastAsia="ja-JP"/>
              </w:rPr>
              <w:t>”, i.e. Observation 2 in R2-2001275.</w:t>
            </w:r>
          </w:p>
        </w:tc>
      </w:tr>
      <w:tr w:rsidR="00A52704" w14:paraId="55135DDB" w14:textId="77777777">
        <w:tc>
          <w:tcPr>
            <w:tcW w:w="1101" w:type="dxa"/>
          </w:tcPr>
          <w:p w14:paraId="4BD4EFC6" w14:textId="77777777" w:rsidR="00A52704" w:rsidRDefault="00464A26">
            <w:pPr>
              <w:spacing w:after="0"/>
              <w:rPr>
                <w:rFonts w:eastAsia="Malgun Gothic"/>
                <w:lang w:eastAsia="ko-KR"/>
              </w:rPr>
            </w:pPr>
            <w:r>
              <w:t>Huawei</w:t>
            </w:r>
          </w:p>
        </w:tc>
        <w:tc>
          <w:tcPr>
            <w:tcW w:w="2268" w:type="dxa"/>
          </w:tcPr>
          <w:p w14:paraId="42FF6F2C" w14:textId="77777777" w:rsidR="00A52704" w:rsidRDefault="00A52704">
            <w:pPr>
              <w:spacing w:after="0"/>
              <w:rPr>
                <w:rFonts w:eastAsia="Malgun Gothic"/>
                <w:lang w:eastAsia="ko-KR"/>
              </w:rPr>
            </w:pPr>
          </w:p>
        </w:tc>
        <w:tc>
          <w:tcPr>
            <w:tcW w:w="6486" w:type="dxa"/>
          </w:tcPr>
          <w:p w14:paraId="5C58C892" w14:textId="77777777" w:rsidR="00A52704" w:rsidRDefault="00464A26">
            <w:pPr>
              <w:spacing w:after="0"/>
            </w:pPr>
            <w:r>
              <w:t>In our understanding, the capability of impact may be different for the down-grading SRS Tx switching pattern, so we are doubt that txSwitchImpactToRx and txSwitchWithAnotherBand can be applied to original and down-grading SRS Tx switching pattern by default. Using 1bit txSwitchImpacted is too vague, but adding explicit “txSwitchImpactToRx and txSwitchWithAnotherBand” for all down-grading SRS Tx switching pattern leads to signalling overhead. It is acceptable to us if nothing is added, and also we would like to hear companies’ views.</w:t>
            </w:r>
          </w:p>
        </w:tc>
      </w:tr>
      <w:tr w:rsidR="00A52704" w14:paraId="0A7831AC" w14:textId="77777777">
        <w:tc>
          <w:tcPr>
            <w:tcW w:w="1101" w:type="dxa"/>
          </w:tcPr>
          <w:p w14:paraId="63048C13" w14:textId="77777777" w:rsidR="00A52704" w:rsidRDefault="00464A26">
            <w:pPr>
              <w:spacing w:after="0"/>
            </w:pPr>
            <w:r>
              <w:rPr>
                <w:rFonts w:hint="eastAsia"/>
              </w:rPr>
              <w:t>CATT</w:t>
            </w:r>
          </w:p>
        </w:tc>
        <w:tc>
          <w:tcPr>
            <w:tcW w:w="2268" w:type="dxa"/>
          </w:tcPr>
          <w:p w14:paraId="407E95DC" w14:textId="77777777" w:rsidR="00A52704" w:rsidRDefault="00A52704">
            <w:pPr>
              <w:spacing w:after="0"/>
            </w:pPr>
          </w:p>
        </w:tc>
        <w:tc>
          <w:tcPr>
            <w:tcW w:w="6486" w:type="dxa"/>
          </w:tcPr>
          <w:p w14:paraId="5347F469" w14:textId="77777777" w:rsidR="00A52704" w:rsidRDefault="00464A26">
            <w:pPr>
              <w:spacing w:after="0"/>
            </w:pPr>
            <w:r>
              <w:rPr>
                <w:rFonts w:hint="eastAsia"/>
              </w:rPr>
              <w:t xml:space="preserve">No strong view. </w:t>
            </w:r>
            <w:r>
              <w:t>I</w:t>
            </w:r>
            <w:r>
              <w:rPr>
                <w:rFonts w:hint="eastAsia"/>
              </w:rPr>
              <w:t>f companies agree to do nothing, we can also accept.</w:t>
            </w:r>
          </w:p>
        </w:tc>
      </w:tr>
      <w:tr w:rsidR="00A52704" w14:paraId="0992A77A" w14:textId="77777777">
        <w:tc>
          <w:tcPr>
            <w:tcW w:w="1101" w:type="dxa"/>
          </w:tcPr>
          <w:p w14:paraId="40163893" w14:textId="77777777" w:rsidR="00A52704" w:rsidRDefault="00464A26">
            <w:pPr>
              <w:spacing w:after="0"/>
              <w:rPr>
                <w:lang w:val="en-US"/>
              </w:rPr>
            </w:pPr>
            <w:r>
              <w:rPr>
                <w:rFonts w:hint="eastAsia"/>
                <w:lang w:val="en-US"/>
              </w:rPr>
              <w:t>ZTE</w:t>
            </w:r>
          </w:p>
        </w:tc>
        <w:tc>
          <w:tcPr>
            <w:tcW w:w="2268" w:type="dxa"/>
          </w:tcPr>
          <w:p w14:paraId="2F8535DF" w14:textId="77777777" w:rsidR="00A52704" w:rsidRDefault="00A52704">
            <w:pPr>
              <w:spacing w:after="0"/>
            </w:pPr>
          </w:p>
        </w:tc>
        <w:tc>
          <w:tcPr>
            <w:tcW w:w="6486" w:type="dxa"/>
          </w:tcPr>
          <w:p w14:paraId="24707704" w14:textId="77777777" w:rsidR="00A52704" w:rsidRDefault="00464A26">
            <w:pPr>
              <w:spacing w:after="0"/>
              <w:rPr>
                <w:lang w:val="en-US"/>
              </w:rPr>
            </w:pPr>
            <w:r>
              <w:rPr>
                <w:rFonts w:hint="eastAsia"/>
                <w:lang w:val="en-US"/>
              </w:rPr>
              <w:t>Agree with Huawei</w:t>
            </w:r>
          </w:p>
        </w:tc>
      </w:tr>
      <w:tr w:rsidR="00A52704" w14:paraId="10E8386E" w14:textId="77777777">
        <w:tc>
          <w:tcPr>
            <w:tcW w:w="1101" w:type="dxa"/>
          </w:tcPr>
          <w:p w14:paraId="5A2FB0AF" w14:textId="77777777" w:rsidR="00A52704" w:rsidRDefault="00513980">
            <w:pPr>
              <w:spacing w:after="0"/>
            </w:pPr>
            <w:r>
              <w:t>Ericsson</w:t>
            </w:r>
          </w:p>
        </w:tc>
        <w:tc>
          <w:tcPr>
            <w:tcW w:w="2268" w:type="dxa"/>
          </w:tcPr>
          <w:p w14:paraId="729A20B5" w14:textId="77777777" w:rsidR="00A52704" w:rsidRDefault="00A52704">
            <w:pPr>
              <w:spacing w:after="0"/>
            </w:pPr>
          </w:p>
        </w:tc>
        <w:tc>
          <w:tcPr>
            <w:tcW w:w="6486" w:type="dxa"/>
          </w:tcPr>
          <w:p w14:paraId="1DE5B89E" w14:textId="77777777" w:rsidR="00A52704" w:rsidRDefault="00513980">
            <w:pPr>
              <w:spacing w:after="0"/>
            </w:pPr>
            <w:r>
              <w:t>We have an inclination towards approach 1 but welcome more input.</w:t>
            </w:r>
          </w:p>
        </w:tc>
      </w:tr>
    </w:tbl>
    <w:p w14:paraId="37C97BD3" w14:textId="77777777" w:rsidR="00A52704" w:rsidRDefault="00A52704">
      <w:pPr>
        <w:rPr>
          <w:rFonts w:cs="Arial"/>
          <w:iCs/>
          <w:sz w:val="18"/>
          <w:szCs w:val="18"/>
        </w:rPr>
      </w:pPr>
    </w:p>
    <w:p w14:paraId="47A01968" w14:textId="77777777" w:rsidR="00A52704" w:rsidRDefault="00464A26">
      <w:pPr>
        <w:pStyle w:val="Observation"/>
        <w:ind w:left="1701" w:hanging="1701"/>
      </w:pPr>
      <w:bookmarkStart w:id="3" w:name="_Toc33475630"/>
      <w:r>
        <w:t>xxx.</w:t>
      </w:r>
      <w:bookmarkEnd w:id="3"/>
    </w:p>
    <w:p w14:paraId="63FB76C2" w14:textId="77777777" w:rsidR="00A52704" w:rsidRDefault="00464A26">
      <w:pPr>
        <w:pStyle w:val="Proposal"/>
        <w:tabs>
          <w:tab w:val="clear" w:pos="1304"/>
        </w:tabs>
        <w:overflowPunct/>
        <w:autoSpaceDE/>
        <w:autoSpaceDN/>
        <w:adjustRightInd/>
        <w:spacing w:after="200" w:line="276" w:lineRule="auto"/>
        <w:ind w:left="1701" w:hanging="1701"/>
        <w:jc w:val="left"/>
        <w:textAlignment w:val="auto"/>
      </w:pPr>
      <w:bookmarkStart w:id="4" w:name="_Toc33475632"/>
      <w:r>
        <w:t>xxx.</w:t>
      </w:r>
      <w:bookmarkEnd w:id="4"/>
    </w:p>
    <w:p w14:paraId="4107D15C" w14:textId="77777777" w:rsidR="00A52704" w:rsidRDefault="00A52704"/>
    <w:p w14:paraId="63F78AF0" w14:textId="77777777" w:rsidR="00A52704" w:rsidRDefault="00464A26">
      <w:pPr>
        <w:pStyle w:val="1"/>
      </w:pPr>
      <w:r>
        <w:t>Conclusion</w:t>
      </w:r>
    </w:p>
    <w:p w14:paraId="2A9A1532" w14:textId="77777777" w:rsidR="00A52704" w:rsidRDefault="00464A26">
      <w:pPr>
        <w:pStyle w:val="af1"/>
      </w:pPr>
      <w:r>
        <w:t xml:space="preserve">Based on the discussion 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we observe</w:t>
      </w:r>
    </w:p>
    <w:p w14:paraId="742BEA3D" w14:textId="77777777" w:rsidR="00A52704" w:rsidRDefault="00464A26">
      <w:pPr>
        <w:pStyle w:val="TOC1"/>
        <w:rPr>
          <w:rFonts w:ascii="等线" w:eastAsia="等线" w:hAnsi="等线"/>
          <w:b w:val="0"/>
          <w:kern w:val="2"/>
          <w:sz w:val="21"/>
        </w:rPr>
      </w:pPr>
      <w:r>
        <w:fldChar w:fldCharType="begin"/>
      </w:r>
      <w:r>
        <w:instrText xml:space="preserve"> TOC \n \p " " \h \z \t "Observation,1" </w:instrText>
      </w:r>
      <w:r>
        <w:fldChar w:fldCharType="separate"/>
      </w:r>
      <w:hyperlink w:anchor="_Toc33475630" w:history="1">
        <w:r>
          <w:rPr>
            <w:rStyle w:val="a4"/>
          </w:rPr>
          <w:t>Observation 1</w:t>
        </w:r>
        <w:r>
          <w:rPr>
            <w:rFonts w:ascii="等线" w:eastAsia="等线" w:hAnsi="等线"/>
            <w:b w:val="0"/>
            <w:kern w:val="2"/>
            <w:sz w:val="21"/>
          </w:rPr>
          <w:tab/>
        </w:r>
        <w:r>
          <w:rPr>
            <w:rStyle w:val="a4"/>
          </w:rPr>
          <w:t>xxx.</w:t>
        </w:r>
      </w:hyperlink>
    </w:p>
    <w:p w14:paraId="53C62683" w14:textId="77777777" w:rsidR="00A52704" w:rsidRDefault="00464A26">
      <w:pPr>
        <w:pStyle w:val="af1"/>
      </w:pPr>
      <w:r>
        <w:fldChar w:fldCharType="end"/>
      </w:r>
    </w:p>
    <w:p w14:paraId="73C04F45" w14:textId="77777777" w:rsidR="00A52704" w:rsidRDefault="00464A26">
      <w:pPr>
        <w:pStyle w:val="af1"/>
      </w:pPr>
      <w:r>
        <w:t xml:space="preserve">And thus </w:t>
      </w:r>
      <w:r>
        <w:rPr>
          <w:rFonts w:hint="eastAsia"/>
        </w:rPr>
        <w:t>we propose:</w:t>
      </w:r>
    </w:p>
    <w:p w14:paraId="33AE088C" w14:textId="77777777" w:rsidR="00A52704" w:rsidRDefault="00464A26">
      <w:pPr>
        <w:pStyle w:val="TOC1"/>
        <w:rPr>
          <w:rFonts w:ascii="等线" w:eastAsia="等线" w:hAnsi="等线"/>
          <w:b w:val="0"/>
          <w:kern w:val="2"/>
          <w:sz w:val="21"/>
        </w:rPr>
      </w:pPr>
      <w:r>
        <w:rPr>
          <w:bCs/>
        </w:rPr>
        <w:fldChar w:fldCharType="begin"/>
      </w:r>
      <w:r>
        <w:rPr>
          <w:bCs/>
        </w:rPr>
        <w:instrText xml:space="preserve"> TOC \n \h \z \t "Proposal,1" </w:instrText>
      </w:r>
      <w:r>
        <w:rPr>
          <w:bCs/>
        </w:rPr>
        <w:fldChar w:fldCharType="separate"/>
      </w:r>
      <w:hyperlink w:anchor="_Toc33475632" w:history="1">
        <w:r>
          <w:rPr>
            <w:rStyle w:val="a4"/>
          </w:rPr>
          <w:t>Proposal 1</w:t>
        </w:r>
        <w:r>
          <w:rPr>
            <w:rFonts w:ascii="等线" w:eastAsia="等线" w:hAnsi="等线"/>
            <w:b w:val="0"/>
            <w:kern w:val="2"/>
            <w:sz w:val="21"/>
          </w:rPr>
          <w:tab/>
        </w:r>
        <w:r>
          <w:rPr>
            <w:rStyle w:val="a4"/>
          </w:rPr>
          <w:t>xxx.</w:t>
        </w:r>
      </w:hyperlink>
    </w:p>
    <w:p w14:paraId="368AADB7" w14:textId="77777777" w:rsidR="00A52704" w:rsidRDefault="00464A26">
      <w:pPr>
        <w:pStyle w:val="af1"/>
        <w:rPr>
          <w:b/>
          <w:bCs/>
        </w:rPr>
      </w:pPr>
      <w:r>
        <w:rPr>
          <w:bCs/>
          <w:szCs w:val="22"/>
          <w:lang w:val="en-US" w:eastAsia="en-US"/>
        </w:rPr>
        <w:fldChar w:fldCharType="end"/>
      </w:r>
    </w:p>
    <w:p w14:paraId="01370A92" w14:textId="77777777" w:rsidR="00A52704" w:rsidRDefault="00464A26">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379D2249" w14:textId="77777777" w:rsidR="00A52704" w:rsidRDefault="00464A26">
      <w:pPr>
        <w:numPr>
          <w:ilvl w:val="0"/>
          <w:numId w:val="14"/>
        </w:numPr>
      </w:pPr>
      <w:bookmarkStart w:id="9" w:name="_Ref33473679"/>
      <w:bookmarkStart w:id="10" w:name="_Ref33473290"/>
      <w:r>
        <w:t>R2-2002066</w:t>
      </w:r>
      <w:r>
        <w:tab/>
        <w:t>Introduction of downgraded configurations for SRS antenna switching</w:t>
      </w:r>
      <w:r>
        <w:tab/>
        <w:t>OPPO</w:t>
      </w:r>
      <w:r>
        <w:tab/>
        <w:t>CR</w:t>
      </w:r>
      <w:r>
        <w:tab/>
        <w:t>Rel-16</w:t>
      </w:r>
      <w:r>
        <w:tab/>
        <w:t>38.331</w:t>
      </w:r>
      <w:r>
        <w:tab/>
        <w:t>15.8.0</w:t>
      </w:r>
      <w:r>
        <w:tab/>
        <w:t>1433</w:t>
      </w:r>
      <w:r>
        <w:tab/>
        <w:t>1</w:t>
      </w:r>
      <w:r>
        <w:tab/>
        <w:t>B</w:t>
      </w:r>
      <w:r>
        <w:tab/>
        <w:t>NR_newRAT-Core</w:t>
      </w:r>
      <w:bookmarkEnd w:id="9"/>
    </w:p>
    <w:p w14:paraId="22391A8C" w14:textId="77777777" w:rsidR="00A52704" w:rsidRDefault="00464A26">
      <w:pPr>
        <w:numPr>
          <w:ilvl w:val="0"/>
          <w:numId w:val="14"/>
        </w:numPr>
      </w:pPr>
      <w:bookmarkStart w:id="11" w:name="_Ref33473292"/>
      <w:r>
        <w:t>R2-2002067</w:t>
      </w:r>
      <w:r>
        <w:tab/>
        <w:t>Introduction of downgraded configurations for SRS antenna switching</w:t>
      </w:r>
      <w:r>
        <w:tab/>
        <w:t>OPPO</w:t>
      </w:r>
      <w:r>
        <w:tab/>
        <w:t>CR</w:t>
      </w:r>
      <w:r>
        <w:tab/>
        <w:t>Rel-16</w:t>
      </w:r>
      <w:r>
        <w:tab/>
        <w:t>38.306</w:t>
      </w:r>
      <w:r>
        <w:tab/>
        <w:t>15.8.0</w:t>
      </w:r>
      <w:r>
        <w:tab/>
        <w:t>0258</w:t>
      </w:r>
      <w:r>
        <w:tab/>
        <w:t>-</w:t>
      </w:r>
      <w:r>
        <w:tab/>
        <w:t>B</w:t>
      </w:r>
      <w:r>
        <w:tab/>
        <w:t>TEI16</w:t>
      </w:r>
      <w:r>
        <w:tab/>
        <w:t>Late</w:t>
      </w:r>
      <w:bookmarkEnd w:id="11"/>
    </w:p>
    <w:p w14:paraId="03BC2B81" w14:textId="77777777" w:rsidR="00A52704" w:rsidRDefault="00464A26">
      <w:pPr>
        <w:numPr>
          <w:ilvl w:val="0"/>
          <w:numId w:val="14"/>
        </w:numPr>
      </w:pPr>
      <w:bookmarkStart w:id="12" w:name="_Ref33473690"/>
      <w:r>
        <w:t>R2-2001275</w:t>
      </w:r>
      <w:r>
        <w:tab/>
        <w:t>Downgrading configuration of SRS for antenna switching</w:t>
      </w:r>
      <w:r>
        <w:tab/>
        <w:t>Intel Corporation</w:t>
      </w:r>
      <w:r>
        <w:tab/>
        <w:t>discussion</w:t>
      </w:r>
      <w:r>
        <w:tab/>
        <w:t>Rel-16</w:t>
      </w:r>
      <w:r>
        <w:tab/>
        <w:t>TEI16</w:t>
      </w:r>
      <w:bookmarkEnd w:id="10"/>
      <w:bookmarkEnd w:id="12"/>
    </w:p>
    <w:p w14:paraId="64DDA1A4" w14:textId="77777777" w:rsidR="00A52704" w:rsidRDefault="00464A26">
      <w:pPr>
        <w:numPr>
          <w:ilvl w:val="0"/>
          <w:numId w:val="14"/>
        </w:numPr>
      </w:pPr>
      <w:bookmarkStart w:id="13" w:name="_Ref33473347"/>
      <w:r>
        <w:lastRenderedPageBreak/>
        <w:t>R2-2001273</w:t>
      </w:r>
      <w:r>
        <w:tab/>
        <w:t>Downgrading configuration of SRS for antenna switching - Alt. 1</w:t>
      </w:r>
      <w:r>
        <w:tab/>
        <w:t>Intel Corporation</w:t>
      </w:r>
      <w:r>
        <w:tab/>
        <w:t>CR</w:t>
      </w:r>
      <w:r>
        <w:tab/>
        <w:t>Rel-16</w:t>
      </w:r>
      <w:r>
        <w:tab/>
        <w:t>38.331</w:t>
      </w:r>
      <w:r>
        <w:tab/>
        <w:t>15.8.0</w:t>
      </w:r>
      <w:r>
        <w:tab/>
        <w:t>1480</w:t>
      </w:r>
      <w:r>
        <w:tab/>
        <w:t>-</w:t>
      </w:r>
      <w:r>
        <w:tab/>
        <w:t>C</w:t>
      </w:r>
      <w:r>
        <w:tab/>
        <w:t>TEI16</w:t>
      </w:r>
      <w:bookmarkEnd w:id="13"/>
    </w:p>
    <w:p w14:paraId="258F101C" w14:textId="77777777" w:rsidR="00A52704" w:rsidRDefault="00464A26">
      <w:pPr>
        <w:numPr>
          <w:ilvl w:val="0"/>
          <w:numId w:val="14"/>
        </w:numPr>
      </w:pPr>
      <w:bookmarkStart w:id="14" w:name="_Ref33473360"/>
      <w:r>
        <w:t>R2-2001274</w:t>
      </w:r>
      <w:r>
        <w:tab/>
        <w:t>Downgrading configuration of SRS for antenna switching - Alt. 1</w:t>
      </w:r>
      <w:r>
        <w:tab/>
        <w:t>Intel Corporation</w:t>
      </w:r>
      <w:r>
        <w:tab/>
        <w:t>CR</w:t>
      </w:r>
      <w:r>
        <w:tab/>
        <w:t>Rel-16</w:t>
      </w:r>
      <w:r>
        <w:tab/>
        <w:t>38.306</w:t>
      </w:r>
      <w:r>
        <w:tab/>
        <w:t>15.8.0</w:t>
      </w:r>
      <w:r>
        <w:tab/>
        <w:t>0251</w:t>
      </w:r>
      <w:r>
        <w:tab/>
        <w:t>-</w:t>
      </w:r>
      <w:r>
        <w:tab/>
        <w:t>C</w:t>
      </w:r>
      <w:r>
        <w:tab/>
        <w:t>TEI16</w:t>
      </w:r>
      <w:bookmarkEnd w:id="14"/>
    </w:p>
    <w:p w14:paraId="7C69BB7D" w14:textId="77777777" w:rsidR="00A52704" w:rsidRDefault="00464A26">
      <w:pPr>
        <w:numPr>
          <w:ilvl w:val="0"/>
          <w:numId w:val="14"/>
        </w:numPr>
      </w:pPr>
      <w:bookmarkStart w:id="15" w:name="_Ref33474593"/>
      <w:r>
        <w:t>R2-2001276</w:t>
      </w:r>
      <w:r>
        <w:tab/>
        <w:t>Downgrading configuration of SRS for antenna switching - Alt. 2</w:t>
      </w:r>
      <w:r>
        <w:tab/>
        <w:t>Intel Corporation</w:t>
      </w:r>
      <w:r>
        <w:tab/>
        <w:t>CR</w:t>
      </w:r>
      <w:r>
        <w:tab/>
        <w:t>Rel-16</w:t>
      </w:r>
      <w:r>
        <w:tab/>
        <w:t>38.331</w:t>
      </w:r>
      <w:r>
        <w:tab/>
        <w:t>15.8.0</w:t>
      </w:r>
      <w:r>
        <w:tab/>
        <w:t>1481</w:t>
      </w:r>
      <w:r>
        <w:tab/>
        <w:t>-</w:t>
      </w:r>
      <w:r>
        <w:tab/>
        <w:t>C</w:t>
      </w:r>
      <w:r>
        <w:tab/>
        <w:t>TEI16</w:t>
      </w:r>
      <w:bookmarkEnd w:id="15"/>
    </w:p>
    <w:p w14:paraId="7F4AA8E3" w14:textId="77777777" w:rsidR="00A52704" w:rsidRDefault="00464A26">
      <w:pPr>
        <w:numPr>
          <w:ilvl w:val="0"/>
          <w:numId w:val="14"/>
        </w:numPr>
      </w:pPr>
      <w:bookmarkStart w:id="16" w:name="_Ref33473691"/>
      <w:r>
        <w:t>R2-2001277</w:t>
      </w:r>
      <w:r>
        <w:tab/>
        <w:t>Downgrading configuration of SRS for antenna switching - Alt. 2</w:t>
      </w:r>
      <w:r>
        <w:tab/>
        <w:t>Intel Corporation</w:t>
      </w:r>
      <w:r>
        <w:tab/>
        <w:t>CR</w:t>
      </w:r>
      <w:r>
        <w:tab/>
        <w:t>Rel-16</w:t>
      </w:r>
      <w:r>
        <w:tab/>
        <w:t>38.306</w:t>
      </w:r>
      <w:r>
        <w:tab/>
        <w:t>15.8.0</w:t>
      </w:r>
      <w:r>
        <w:tab/>
        <w:t>0252</w:t>
      </w:r>
      <w:r>
        <w:tab/>
        <w:t>-</w:t>
      </w:r>
      <w:r>
        <w:tab/>
        <w:t>C</w:t>
      </w:r>
      <w:r>
        <w:tab/>
        <w:t>TEI16</w:t>
      </w:r>
      <w:bookmarkEnd w:id="16"/>
    </w:p>
    <w:p w14:paraId="6E3DFDAE" w14:textId="77777777" w:rsidR="00A52704" w:rsidRDefault="00464A26">
      <w:pPr>
        <w:numPr>
          <w:ilvl w:val="0"/>
          <w:numId w:val="14"/>
        </w:numPr>
      </w:pPr>
      <w:bookmarkStart w:id="17" w:name="_Ref33476656"/>
      <w:r>
        <w:t>R1-1913580, LS on NR Rel-16 TEI</w:t>
      </w:r>
      <w:bookmarkEnd w:id="17"/>
    </w:p>
    <w:p w14:paraId="5B39E7BB" w14:textId="77777777" w:rsidR="00A52704" w:rsidRDefault="00A52704">
      <w:pPr>
        <w:pStyle w:val="Reference"/>
      </w:pPr>
    </w:p>
    <w:sectPr w:rsidR="00A52704">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80885" w14:textId="77777777" w:rsidR="00A27329" w:rsidRDefault="00A27329">
      <w:pPr>
        <w:spacing w:after="0"/>
      </w:pPr>
      <w:r>
        <w:separator/>
      </w:r>
    </w:p>
  </w:endnote>
  <w:endnote w:type="continuationSeparator" w:id="0">
    <w:p w14:paraId="25BFEFCC" w14:textId="77777777" w:rsidR="00A27329" w:rsidRDefault="00A27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7FE55" w14:textId="77777777" w:rsidR="00A52704" w:rsidRDefault="00464A26">
    <w:pPr>
      <w:pStyle w:val="a7"/>
      <w:tabs>
        <w:tab w:val="center" w:pos="4820"/>
        <w:tab w:val="right" w:pos="9639"/>
      </w:tabs>
      <w:jc w:val="left"/>
    </w:pPr>
    <w:r>
      <w:tab/>
    </w:r>
    <w:r>
      <w:fldChar w:fldCharType="begin"/>
    </w:r>
    <w:r>
      <w:rPr>
        <w:rStyle w:val="a5"/>
      </w:rPr>
      <w:instrText xml:space="preserve"> PAGE </w:instrText>
    </w:r>
    <w:r>
      <w:fldChar w:fldCharType="separate"/>
    </w:r>
    <w:r>
      <w:rPr>
        <w:rStyle w:val="a5"/>
      </w:rPr>
      <w:t>3</w:t>
    </w:r>
    <w:r>
      <w:fldChar w:fldCharType="end"/>
    </w:r>
    <w:r>
      <w:rPr>
        <w:rStyle w:val="a5"/>
      </w:rPr>
      <w:t>/</w:t>
    </w:r>
    <w:r>
      <w:fldChar w:fldCharType="begin"/>
    </w:r>
    <w:r>
      <w:rPr>
        <w:rStyle w:val="a5"/>
      </w:rPr>
      <w:instrText xml:space="preserve"> NUMPAGES </w:instrText>
    </w:r>
    <w:r>
      <w:fldChar w:fldCharType="separate"/>
    </w:r>
    <w:r>
      <w:rPr>
        <w:rStyle w:val="a5"/>
      </w:rPr>
      <w:t>4</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A505C" w14:textId="77777777" w:rsidR="00A27329" w:rsidRDefault="00A27329">
      <w:pPr>
        <w:spacing w:after="0"/>
      </w:pPr>
      <w:r>
        <w:separator/>
      </w:r>
    </w:p>
  </w:footnote>
  <w:footnote w:type="continuationSeparator" w:id="0">
    <w:p w14:paraId="0877BEB1" w14:textId="77777777" w:rsidR="00A27329" w:rsidRDefault="00A273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0D7DC"/>
    <w:multiLevelType w:val="singleLevel"/>
    <w:tmpl w:val="8470D7DC"/>
    <w:lvl w:ilvl="0">
      <w:start w:val="2"/>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8B2EF3"/>
    <w:multiLevelType w:val="multilevel"/>
    <w:tmpl w:val="328B2EF3"/>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D23598"/>
    <w:multiLevelType w:val="multilevel"/>
    <w:tmpl w:val="33D2359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4C7C7D"/>
    <w:multiLevelType w:val="multilevel"/>
    <w:tmpl w:val="344C7C7D"/>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313BDB"/>
    <w:multiLevelType w:val="multilevel"/>
    <w:tmpl w:val="6D313BD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
  </w:num>
  <w:num w:numId="3">
    <w:abstractNumId w:val="10"/>
  </w:num>
  <w:num w:numId="4">
    <w:abstractNumId w:val="2"/>
  </w:num>
  <w:num w:numId="5">
    <w:abstractNumId w:val="11"/>
  </w:num>
  <w:num w:numId="6">
    <w:abstractNumId w:val="8"/>
  </w:num>
  <w:num w:numId="7">
    <w:abstractNumId w:val="13"/>
  </w:num>
  <w:num w:numId="8">
    <w:abstractNumId w:val="9"/>
  </w:num>
  <w:num w:numId="9">
    <w:abstractNumId w:val="7"/>
  </w:num>
  <w:num w:numId="10">
    <w:abstractNumId w:val="5"/>
  </w:num>
  <w:num w:numId="11">
    <w:abstractNumId w:val="4"/>
  </w:num>
  <w:num w:numId="12">
    <w:abstractNumId w:val="6"/>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46E3"/>
    <w:rsid w:val="00005873"/>
    <w:rsid w:val="00006446"/>
    <w:rsid w:val="00006896"/>
    <w:rsid w:val="00007CDC"/>
    <w:rsid w:val="000109FA"/>
    <w:rsid w:val="00011B28"/>
    <w:rsid w:val="0001483C"/>
    <w:rsid w:val="00015D15"/>
    <w:rsid w:val="000203DC"/>
    <w:rsid w:val="0002564D"/>
    <w:rsid w:val="00025ECA"/>
    <w:rsid w:val="00030058"/>
    <w:rsid w:val="000325B8"/>
    <w:rsid w:val="00034C15"/>
    <w:rsid w:val="0003688D"/>
    <w:rsid w:val="00036BA1"/>
    <w:rsid w:val="000422E2"/>
    <w:rsid w:val="00042F22"/>
    <w:rsid w:val="000444EF"/>
    <w:rsid w:val="0004600F"/>
    <w:rsid w:val="000460BB"/>
    <w:rsid w:val="00046743"/>
    <w:rsid w:val="00052A07"/>
    <w:rsid w:val="000534E3"/>
    <w:rsid w:val="00053F9E"/>
    <w:rsid w:val="00054705"/>
    <w:rsid w:val="00054D4A"/>
    <w:rsid w:val="000559BF"/>
    <w:rsid w:val="0005606A"/>
    <w:rsid w:val="00057117"/>
    <w:rsid w:val="00060EC2"/>
    <w:rsid w:val="000616E7"/>
    <w:rsid w:val="000617D4"/>
    <w:rsid w:val="00063152"/>
    <w:rsid w:val="0006487E"/>
    <w:rsid w:val="00065E1A"/>
    <w:rsid w:val="0007620B"/>
    <w:rsid w:val="000776A6"/>
    <w:rsid w:val="00077E5F"/>
    <w:rsid w:val="00077F8B"/>
    <w:rsid w:val="0008036A"/>
    <w:rsid w:val="00080B1B"/>
    <w:rsid w:val="00081AE6"/>
    <w:rsid w:val="000822A7"/>
    <w:rsid w:val="000855EB"/>
    <w:rsid w:val="00085B52"/>
    <w:rsid w:val="00086313"/>
    <w:rsid w:val="000866F2"/>
    <w:rsid w:val="00087C24"/>
    <w:rsid w:val="0009009F"/>
    <w:rsid w:val="00090366"/>
    <w:rsid w:val="000909D2"/>
    <w:rsid w:val="00091557"/>
    <w:rsid w:val="000924C1"/>
    <w:rsid w:val="000924F0"/>
    <w:rsid w:val="00093474"/>
    <w:rsid w:val="000934A5"/>
    <w:rsid w:val="0009493B"/>
    <w:rsid w:val="0009510F"/>
    <w:rsid w:val="000A1B7B"/>
    <w:rsid w:val="000A56F2"/>
    <w:rsid w:val="000B0434"/>
    <w:rsid w:val="000B05D2"/>
    <w:rsid w:val="000B190F"/>
    <w:rsid w:val="000B1974"/>
    <w:rsid w:val="000B1999"/>
    <w:rsid w:val="000B2491"/>
    <w:rsid w:val="000B2719"/>
    <w:rsid w:val="000B276C"/>
    <w:rsid w:val="000B3A8F"/>
    <w:rsid w:val="000B3B7A"/>
    <w:rsid w:val="000B4AB9"/>
    <w:rsid w:val="000B58C3"/>
    <w:rsid w:val="000B61E9"/>
    <w:rsid w:val="000C165A"/>
    <w:rsid w:val="000C2E19"/>
    <w:rsid w:val="000C3BA5"/>
    <w:rsid w:val="000C66FC"/>
    <w:rsid w:val="000D0D07"/>
    <w:rsid w:val="000D3FD1"/>
    <w:rsid w:val="000D4797"/>
    <w:rsid w:val="000E0527"/>
    <w:rsid w:val="000E1E92"/>
    <w:rsid w:val="000E4D0E"/>
    <w:rsid w:val="000E6B14"/>
    <w:rsid w:val="000F06D6"/>
    <w:rsid w:val="000F0EB1"/>
    <w:rsid w:val="000F1106"/>
    <w:rsid w:val="000F2001"/>
    <w:rsid w:val="000F3BE9"/>
    <w:rsid w:val="000F3F6C"/>
    <w:rsid w:val="000F6DF3"/>
    <w:rsid w:val="000F766C"/>
    <w:rsid w:val="001005FF"/>
    <w:rsid w:val="00100B27"/>
    <w:rsid w:val="001062FB"/>
    <w:rsid w:val="001063E6"/>
    <w:rsid w:val="001110A6"/>
    <w:rsid w:val="001129A9"/>
    <w:rsid w:val="00113CF4"/>
    <w:rsid w:val="00114A7A"/>
    <w:rsid w:val="001153EA"/>
    <w:rsid w:val="00115643"/>
    <w:rsid w:val="00116765"/>
    <w:rsid w:val="00116CD6"/>
    <w:rsid w:val="001212CD"/>
    <w:rsid w:val="001219F5"/>
    <w:rsid w:val="00121A20"/>
    <w:rsid w:val="0012377F"/>
    <w:rsid w:val="00124314"/>
    <w:rsid w:val="00126B4A"/>
    <w:rsid w:val="001309E1"/>
    <w:rsid w:val="00132FD0"/>
    <w:rsid w:val="001344C0"/>
    <w:rsid w:val="001346FA"/>
    <w:rsid w:val="00135252"/>
    <w:rsid w:val="00136B2C"/>
    <w:rsid w:val="00137AB5"/>
    <w:rsid w:val="00137F0B"/>
    <w:rsid w:val="00151E23"/>
    <w:rsid w:val="00152392"/>
    <w:rsid w:val="001526E0"/>
    <w:rsid w:val="001551B5"/>
    <w:rsid w:val="00156706"/>
    <w:rsid w:val="001605D8"/>
    <w:rsid w:val="00163301"/>
    <w:rsid w:val="001648DE"/>
    <w:rsid w:val="00165545"/>
    <w:rsid w:val="001659C1"/>
    <w:rsid w:val="00166588"/>
    <w:rsid w:val="00166BB5"/>
    <w:rsid w:val="00167321"/>
    <w:rsid w:val="001710FA"/>
    <w:rsid w:val="00173A8E"/>
    <w:rsid w:val="00176A65"/>
    <w:rsid w:val="00176B01"/>
    <w:rsid w:val="0018143F"/>
    <w:rsid w:val="00183C22"/>
    <w:rsid w:val="00185971"/>
    <w:rsid w:val="0018686E"/>
    <w:rsid w:val="00190AC1"/>
    <w:rsid w:val="0019114E"/>
    <w:rsid w:val="0019341A"/>
    <w:rsid w:val="001934A5"/>
    <w:rsid w:val="00193BB3"/>
    <w:rsid w:val="00193C64"/>
    <w:rsid w:val="00194C0C"/>
    <w:rsid w:val="00196593"/>
    <w:rsid w:val="00197DF9"/>
    <w:rsid w:val="00197E05"/>
    <w:rsid w:val="001A00F6"/>
    <w:rsid w:val="001A0948"/>
    <w:rsid w:val="001A1987"/>
    <w:rsid w:val="001A2489"/>
    <w:rsid w:val="001A2564"/>
    <w:rsid w:val="001A6173"/>
    <w:rsid w:val="001A6430"/>
    <w:rsid w:val="001A6CBA"/>
    <w:rsid w:val="001B05F9"/>
    <w:rsid w:val="001B0B6C"/>
    <w:rsid w:val="001B0D97"/>
    <w:rsid w:val="001B0FFE"/>
    <w:rsid w:val="001B5A5D"/>
    <w:rsid w:val="001C1CE5"/>
    <w:rsid w:val="001C3D2A"/>
    <w:rsid w:val="001D179D"/>
    <w:rsid w:val="001D214F"/>
    <w:rsid w:val="001D421D"/>
    <w:rsid w:val="001D51BA"/>
    <w:rsid w:val="001D6342"/>
    <w:rsid w:val="001D6D53"/>
    <w:rsid w:val="001E155A"/>
    <w:rsid w:val="001E17EF"/>
    <w:rsid w:val="001E1805"/>
    <w:rsid w:val="001E58E2"/>
    <w:rsid w:val="001E7AED"/>
    <w:rsid w:val="001F3916"/>
    <w:rsid w:val="001F54C5"/>
    <w:rsid w:val="001F5E5D"/>
    <w:rsid w:val="001F662C"/>
    <w:rsid w:val="001F701D"/>
    <w:rsid w:val="001F7074"/>
    <w:rsid w:val="001F7A7C"/>
    <w:rsid w:val="00200490"/>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646"/>
    <w:rsid w:val="00223FCB"/>
    <w:rsid w:val="002252C3"/>
    <w:rsid w:val="00225C54"/>
    <w:rsid w:val="00226C63"/>
    <w:rsid w:val="00230765"/>
    <w:rsid w:val="002319E4"/>
    <w:rsid w:val="00233CE9"/>
    <w:rsid w:val="00235632"/>
    <w:rsid w:val="00235794"/>
    <w:rsid w:val="00235872"/>
    <w:rsid w:val="0023716E"/>
    <w:rsid w:val="00240B1A"/>
    <w:rsid w:val="00241405"/>
    <w:rsid w:val="00241559"/>
    <w:rsid w:val="00242387"/>
    <w:rsid w:val="002435B3"/>
    <w:rsid w:val="002458EB"/>
    <w:rsid w:val="00245F28"/>
    <w:rsid w:val="002468AB"/>
    <w:rsid w:val="002500C8"/>
    <w:rsid w:val="0025108C"/>
    <w:rsid w:val="002532D8"/>
    <w:rsid w:val="00256137"/>
    <w:rsid w:val="00257543"/>
    <w:rsid w:val="002617E7"/>
    <w:rsid w:val="00262C31"/>
    <w:rsid w:val="00264228"/>
    <w:rsid w:val="00264334"/>
    <w:rsid w:val="0026473E"/>
    <w:rsid w:val="0026486C"/>
    <w:rsid w:val="00264E06"/>
    <w:rsid w:val="00264F75"/>
    <w:rsid w:val="00266214"/>
    <w:rsid w:val="00267C83"/>
    <w:rsid w:val="002700A1"/>
    <w:rsid w:val="002713BC"/>
    <w:rsid w:val="0027144F"/>
    <w:rsid w:val="00271813"/>
    <w:rsid w:val="00271F3A"/>
    <w:rsid w:val="00273278"/>
    <w:rsid w:val="002737F4"/>
    <w:rsid w:val="00274543"/>
    <w:rsid w:val="00276545"/>
    <w:rsid w:val="00276F2E"/>
    <w:rsid w:val="002804D3"/>
    <w:rsid w:val="002805F5"/>
    <w:rsid w:val="00280751"/>
    <w:rsid w:val="00280D01"/>
    <w:rsid w:val="0028280A"/>
    <w:rsid w:val="00283D27"/>
    <w:rsid w:val="00284406"/>
    <w:rsid w:val="00286ACD"/>
    <w:rsid w:val="00287838"/>
    <w:rsid w:val="00287A94"/>
    <w:rsid w:val="002907B5"/>
    <w:rsid w:val="00290CBE"/>
    <w:rsid w:val="00292323"/>
    <w:rsid w:val="00292B81"/>
    <w:rsid w:val="00292EB7"/>
    <w:rsid w:val="00293436"/>
    <w:rsid w:val="00294069"/>
    <w:rsid w:val="00296227"/>
    <w:rsid w:val="00296F44"/>
    <w:rsid w:val="0029777D"/>
    <w:rsid w:val="00297FB1"/>
    <w:rsid w:val="002A055E"/>
    <w:rsid w:val="002A134C"/>
    <w:rsid w:val="002A1D4E"/>
    <w:rsid w:val="002A2072"/>
    <w:rsid w:val="002A2869"/>
    <w:rsid w:val="002A517B"/>
    <w:rsid w:val="002A630C"/>
    <w:rsid w:val="002A634A"/>
    <w:rsid w:val="002B24D6"/>
    <w:rsid w:val="002B333E"/>
    <w:rsid w:val="002C41E6"/>
    <w:rsid w:val="002C47E5"/>
    <w:rsid w:val="002C7540"/>
    <w:rsid w:val="002D071A"/>
    <w:rsid w:val="002D1342"/>
    <w:rsid w:val="002D34B2"/>
    <w:rsid w:val="002D467B"/>
    <w:rsid w:val="002D7637"/>
    <w:rsid w:val="002E17F2"/>
    <w:rsid w:val="002E21DF"/>
    <w:rsid w:val="002E5927"/>
    <w:rsid w:val="002E5A92"/>
    <w:rsid w:val="002E7C4D"/>
    <w:rsid w:val="002E7CAE"/>
    <w:rsid w:val="002F0750"/>
    <w:rsid w:val="002F1831"/>
    <w:rsid w:val="002F1BE3"/>
    <w:rsid w:val="002F2771"/>
    <w:rsid w:val="002F37A9"/>
    <w:rsid w:val="002F671E"/>
    <w:rsid w:val="00300832"/>
    <w:rsid w:val="00301CE6"/>
    <w:rsid w:val="00301E69"/>
    <w:rsid w:val="0030256B"/>
    <w:rsid w:val="00303236"/>
    <w:rsid w:val="003034C3"/>
    <w:rsid w:val="0030501F"/>
    <w:rsid w:val="00305391"/>
    <w:rsid w:val="003066C7"/>
    <w:rsid w:val="00307BA1"/>
    <w:rsid w:val="00307D2A"/>
    <w:rsid w:val="00311702"/>
    <w:rsid w:val="00311D0E"/>
    <w:rsid w:val="00311E82"/>
    <w:rsid w:val="003130B9"/>
    <w:rsid w:val="00313FD6"/>
    <w:rsid w:val="003143BD"/>
    <w:rsid w:val="0031653D"/>
    <w:rsid w:val="003203ED"/>
    <w:rsid w:val="00321CCD"/>
    <w:rsid w:val="00322C9F"/>
    <w:rsid w:val="00324D23"/>
    <w:rsid w:val="00326BBC"/>
    <w:rsid w:val="0032755E"/>
    <w:rsid w:val="00330152"/>
    <w:rsid w:val="00331751"/>
    <w:rsid w:val="00332396"/>
    <w:rsid w:val="00333357"/>
    <w:rsid w:val="003339B1"/>
    <w:rsid w:val="00334579"/>
    <w:rsid w:val="00334DA1"/>
    <w:rsid w:val="00335858"/>
    <w:rsid w:val="00336400"/>
    <w:rsid w:val="00336BDA"/>
    <w:rsid w:val="00340840"/>
    <w:rsid w:val="00341208"/>
    <w:rsid w:val="00342BD7"/>
    <w:rsid w:val="0034687F"/>
    <w:rsid w:val="00346DB5"/>
    <w:rsid w:val="003477B1"/>
    <w:rsid w:val="00354EB9"/>
    <w:rsid w:val="00357380"/>
    <w:rsid w:val="003602D9"/>
    <w:rsid w:val="003604CE"/>
    <w:rsid w:val="00364911"/>
    <w:rsid w:val="003651B7"/>
    <w:rsid w:val="00370E47"/>
    <w:rsid w:val="00371DB1"/>
    <w:rsid w:val="00372591"/>
    <w:rsid w:val="003742AC"/>
    <w:rsid w:val="00375C42"/>
    <w:rsid w:val="00377CE1"/>
    <w:rsid w:val="00385A2D"/>
    <w:rsid w:val="00385BF0"/>
    <w:rsid w:val="00390339"/>
    <w:rsid w:val="003939FF"/>
    <w:rsid w:val="003A15EC"/>
    <w:rsid w:val="003A2223"/>
    <w:rsid w:val="003A2294"/>
    <w:rsid w:val="003A2A0F"/>
    <w:rsid w:val="003A45A1"/>
    <w:rsid w:val="003A50B4"/>
    <w:rsid w:val="003A5154"/>
    <w:rsid w:val="003A55D5"/>
    <w:rsid w:val="003A5B0A"/>
    <w:rsid w:val="003A6BAC"/>
    <w:rsid w:val="003A7877"/>
    <w:rsid w:val="003A7EF3"/>
    <w:rsid w:val="003B07A7"/>
    <w:rsid w:val="003B159C"/>
    <w:rsid w:val="003B369F"/>
    <w:rsid w:val="003B36A3"/>
    <w:rsid w:val="003B67A4"/>
    <w:rsid w:val="003B7FE5"/>
    <w:rsid w:val="003C11C8"/>
    <w:rsid w:val="003C1651"/>
    <w:rsid w:val="003C19DA"/>
    <w:rsid w:val="003C1E5C"/>
    <w:rsid w:val="003C2702"/>
    <w:rsid w:val="003C4482"/>
    <w:rsid w:val="003C7806"/>
    <w:rsid w:val="003D109F"/>
    <w:rsid w:val="003D21E1"/>
    <w:rsid w:val="003D2478"/>
    <w:rsid w:val="003D252B"/>
    <w:rsid w:val="003D3C45"/>
    <w:rsid w:val="003D3DCD"/>
    <w:rsid w:val="003D5B1F"/>
    <w:rsid w:val="003D6219"/>
    <w:rsid w:val="003D62C8"/>
    <w:rsid w:val="003D6952"/>
    <w:rsid w:val="003E15FA"/>
    <w:rsid w:val="003E2466"/>
    <w:rsid w:val="003E2468"/>
    <w:rsid w:val="003E2EC0"/>
    <w:rsid w:val="003E39B6"/>
    <w:rsid w:val="003E3ABC"/>
    <w:rsid w:val="003E55E4"/>
    <w:rsid w:val="003E74E3"/>
    <w:rsid w:val="003F05C7"/>
    <w:rsid w:val="003F1455"/>
    <w:rsid w:val="003F2904"/>
    <w:rsid w:val="003F2CD4"/>
    <w:rsid w:val="003F3E38"/>
    <w:rsid w:val="003F435A"/>
    <w:rsid w:val="003F6BBE"/>
    <w:rsid w:val="004000E8"/>
    <w:rsid w:val="0040064A"/>
    <w:rsid w:val="00400664"/>
    <w:rsid w:val="00402E2B"/>
    <w:rsid w:val="00404752"/>
    <w:rsid w:val="0040512B"/>
    <w:rsid w:val="00405CA5"/>
    <w:rsid w:val="004062D9"/>
    <w:rsid w:val="00407CD3"/>
    <w:rsid w:val="00410134"/>
    <w:rsid w:val="00410B72"/>
    <w:rsid w:val="00410F18"/>
    <w:rsid w:val="0041263E"/>
    <w:rsid w:val="00413AAC"/>
    <w:rsid w:val="00413E92"/>
    <w:rsid w:val="00414E45"/>
    <w:rsid w:val="00416D6D"/>
    <w:rsid w:val="00417191"/>
    <w:rsid w:val="00421105"/>
    <w:rsid w:val="00422D45"/>
    <w:rsid w:val="004242F4"/>
    <w:rsid w:val="00425B88"/>
    <w:rsid w:val="00427248"/>
    <w:rsid w:val="00431716"/>
    <w:rsid w:val="00432CA3"/>
    <w:rsid w:val="00435E43"/>
    <w:rsid w:val="00437447"/>
    <w:rsid w:val="00440744"/>
    <w:rsid w:val="004407C7"/>
    <w:rsid w:val="00441A92"/>
    <w:rsid w:val="00441D2F"/>
    <w:rsid w:val="00444F56"/>
    <w:rsid w:val="00446488"/>
    <w:rsid w:val="00446D86"/>
    <w:rsid w:val="004517AA"/>
    <w:rsid w:val="00452CAC"/>
    <w:rsid w:val="004546DC"/>
    <w:rsid w:val="00456E53"/>
    <w:rsid w:val="00457565"/>
    <w:rsid w:val="00457B71"/>
    <w:rsid w:val="00464A26"/>
    <w:rsid w:val="004652FD"/>
    <w:rsid w:val="004669E2"/>
    <w:rsid w:val="00466F2F"/>
    <w:rsid w:val="00470C31"/>
    <w:rsid w:val="00470DE0"/>
    <w:rsid w:val="004734D0"/>
    <w:rsid w:val="0047556B"/>
    <w:rsid w:val="00477768"/>
    <w:rsid w:val="00480776"/>
    <w:rsid w:val="00480D13"/>
    <w:rsid w:val="00483F9B"/>
    <w:rsid w:val="00484177"/>
    <w:rsid w:val="004874D0"/>
    <w:rsid w:val="00490DE1"/>
    <w:rsid w:val="004914F8"/>
    <w:rsid w:val="00492BC5"/>
    <w:rsid w:val="00493004"/>
    <w:rsid w:val="00493B08"/>
    <w:rsid w:val="004964F1"/>
    <w:rsid w:val="00496ABA"/>
    <w:rsid w:val="00497FF1"/>
    <w:rsid w:val="004A01CB"/>
    <w:rsid w:val="004A16BC"/>
    <w:rsid w:val="004A2B94"/>
    <w:rsid w:val="004B12FE"/>
    <w:rsid w:val="004B5C2F"/>
    <w:rsid w:val="004B64DF"/>
    <w:rsid w:val="004B7C0C"/>
    <w:rsid w:val="004C3898"/>
    <w:rsid w:val="004C4246"/>
    <w:rsid w:val="004C6FC1"/>
    <w:rsid w:val="004D1E7F"/>
    <w:rsid w:val="004D22F6"/>
    <w:rsid w:val="004D36B1"/>
    <w:rsid w:val="004D3F54"/>
    <w:rsid w:val="004D5660"/>
    <w:rsid w:val="004D7EBD"/>
    <w:rsid w:val="004E053C"/>
    <w:rsid w:val="004E143B"/>
    <w:rsid w:val="004E2680"/>
    <w:rsid w:val="004E28F9"/>
    <w:rsid w:val="004E305A"/>
    <w:rsid w:val="004E462E"/>
    <w:rsid w:val="004E4E16"/>
    <w:rsid w:val="004E56DC"/>
    <w:rsid w:val="004E76F4"/>
    <w:rsid w:val="004F0B4E"/>
    <w:rsid w:val="004F0B6C"/>
    <w:rsid w:val="004F2078"/>
    <w:rsid w:val="004F24C4"/>
    <w:rsid w:val="004F4DA3"/>
    <w:rsid w:val="004F749E"/>
    <w:rsid w:val="004F7C46"/>
    <w:rsid w:val="00503E4C"/>
    <w:rsid w:val="00505110"/>
    <w:rsid w:val="00505403"/>
    <w:rsid w:val="00506557"/>
    <w:rsid w:val="0050677A"/>
    <w:rsid w:val="005108D8"/>
    <w:rsid w:val="005113A7"/>
    <w:rsid w:val="005116F9"/>
    <w:rsid w:val="00511892"/>
    <w:rsid w:val="00511DD1"/>
    <w:rsid w:val="00513980"/>
    <w:rsid w:val="00514B20"/>
    <w:rsid w:val="00514E47"/>
    <w:rsid w:val="005153A7"/>
    <w:rsid w:val="005219CF"/>
    <w:rsid w:val="00522DB7"/>
    <w:rsid w:val="00530643"/>
    <w:rsid w:val="0053067B"/>
    <w:rsid w:val="005328D3"/>
    <w:rsid w:val="00534B59"/>
    <w:rsid w:val="00536759"/>
    <w:rsid w:val="00537C62"/>
    <w:rsid w:val="005411B3"/>
    <w:rsid w:val="00541E93"/>
    <w:rsid w:val="00542BCE"/>
    <w:rsid w:val="005445DD"/>
    <w:rsid w:val="00546970"/>
    <w:rsid w:val="005478F8"/>
    <w:rsid w:val="00552585"/>
    <w:rsid w:val="005533C8"/>
    <w:rsid w:val="00554E19"/>
    <w:rsid w:val="00560A21"/>
    <w:rsid w:val="0056121F"/>
    <w:rsid w:val="0057126F"/>
    <w:rsid w:val="00572505"/>
    <w:rsid w:val="00572E72"/>
    <w:rsid w:val="00573912"/>
    <w:rsid w:val="0057400C"/>
    <w:rsid w:val="0057664C"/>
    <w:rsid w:val="00581FBC"/>
    <w:rsid w:val="00582809"/>
    <w:rsid w:val="00584511"/>
    <w:rsid w:val="0058798C"/>
    <w:rsid w:val="005900FA"/>
    <w:rsid w:val="005935A4"/>
    <w:rsid w:val="005948C2"/>
    <w:rsid w:val="00595DCA"/>
    <w:rsid w:val="00596ADC"/>
    <w:rsid w:val="005975B0"/>
    <w:rsid w:val="0059779B"/>
    <w:rsid w:val="00597D34"/>
    <w:rsid w:val="005A011C"/>
    <w:rsid w:val="005A209A"/>
    <w:rsid w:val="005A3463"/>
    <w:rsid w:val="005A662D"/>
    <w:rsid w:val="005B04D3"/>
    <w:rsid w:val="005B21D5"/>
    <w:rsid w:val="005B35D7"/>
    <w:rsid w:val="005B392A"/>
    <w:rsid w:val="005B3AA3"/>
    <w:rsid w:val="005B44FC"/>
    <w:rsid w:val="005B50DB"/>
    <w:rsid w:val="005B6F83"/>
    <w:rsid w:val="005C0A0D"/>
    <w:rsid w:val="005C2639"/>
    <w:rsid w:val="005C5C7E"/>
    <w:rsid w:val="005C74FB"/>
    <w:rsid w:val="005D0E73"/>
    <w:rsid w:val="005D1602"/>
    <w:rsid w:val="005E08E8"/>
    <w:rsid w:val="005E289F"/>
    <w:rsid w:val="005E385F"/>
    <w:rsid w:val="005E3BDB"/>
    <w:rsid w:val="005E5850"/>
    <w:rsid w:val="005E5B81"/>
    <w:rsid w:val="005E670F"/>
    <w:rsid w:val="005E6984"/>
    <w:rsid w:val="005F1237"/>
    <w:rsid w:val="005F2B2B"/>
    <w:rsid w:val="005F2CB1"/>
    <w:rsid w:val="005F3025"/>
    <w:rsid w:val="005F4CF9"/>
    <w:rsid w:val="005F501E"/>
    <w:rsid w:val="005F618C"/>
    <w:rsid w:val="005F70BD"/>
    <w:rsid w:val="005F7E30"/>
    <w:rsid w:val="0060283C"/>
    <w:rsid w:val="006039AD"/>
    <w:rsid w:val="00604F14"/>
    <w:rsid w:val="00605419"/>
    <w:rsid w:val="0061054E"/>
    <w:rsid w:val="00611B83"/>
    <w:rsid w:val="00613257"/>
    <w:rsid w:val="0061342C"/>
    <w:rsid w:val="0061443F"/>
    <w:rsid w:val="006146CE"/>
    <w:rsid w:val="00620A71"/>
    <w:rsid w:val="00620D80"/>
    <w:rsid w:val="006234A6"/>
    <w:rsid w:val="00623A29"/>
    <w:rsid w:val="00627DF5"/>
    <w:rsid w:val="00630001"/>
    <w:rsid w:val="00630DA3"/>
    <w:rsid w:val="006311B3"/>
    <w:rsid w:val="0063284C"/>
    <w:rsid w:val="00632BE1"/>
    <w:rsid w:val="0063366C"/>
    <w:rsid w:val="00633F2F"/>
    <w:rsid w:val="00635037"/>
    <w:rsid w:val="00636398"/>
    <w:rsid w:val="006368D3"/>
    <w:rsid w:val="006377EC"/>
    <w:rsid w:val="006402C1"/>
    <w:rsid w:val="0064151F"/>
    <w:rsid w:val="00641533"/>
    <w:rsid w:val="00641D12"/>
    <w:rsid w:val="0064208D"/>
    <w:rsid w:val="00643475"/>
    <w:rsid w:val="0064396A"/>
    <w:rsid w:val="00645107"/>
    <w:rsid w:val="006456F2"/>
    <w:rsid w:val="0064624E"/>
    <w:rsid w:val="00650AB9"/>
    <w:rsid w:val="006536C1"/>
    <w:rsid w:val="00655733"/>
    <w:rsid w:val="00655ACD"/>
    <w:rsid w:val="006560CA"/>
    <w:rsid w:val="00656A92"/>
    <w:rsid w:val="00656DDE"/>
    <w:rsid w:val="0066011D"/>
    <w:rsid w:val="006607C0"/>
    <w:rsid w:val="00660879"/>
    <w:rsid w:val="006613A6"/>
    <w:rsid w:val="006627A2"/>
    <w:rsid w:val="006634E6"/>
    <w:rsid w:val="006655EE"/>
    <w:rsid w:val="00667843"/>
    <w:rsid w:val="00667EE7"/>
    <w:rsid w:val="00670412"/>
    <w:rsid w:val="00670922"/>
    <w:rsid w:val="00670BE1"/>
    <w:rsid w:val="0067114E"/>
    <w:rsid w:val="00671B11"/>
    <w:rsid w:val="0067218F"/>
    <w:rsid w:val="006741F2"/>
    <w:rsid w:val="00674CC3"/>
    <w:rsid w:val="00675C72"/>
    <w:rsid w:val="00676B90"/>
    <w:rsid w:val="00676D66"/>
    <w:rsid w:val="006771F9"/>
    <w:rsid w:val="006776D7"/>
    <w:rsid w:val="006778D8"/>
    <w:rsid w:val="00681003"/>
    <w:rsid w:val="006817C9"/>
    <w:rsid w:val="00683ECE"/>
    <w:rsid w:val="00683F90"/>
    <w:rsid w:val="0068777E"/>
    <w:rsid w:val="00695FC2"/>
    <w:rsid w:val="00696949"/>
    <w:rsid w:val="00697052"/>
    <w:rsid w:val="00697F80"/>
    <w:rsid w:val="006A018C"/>
    <w:rsid w:val="006A46FB"/>
    <w:rsid w:val="006A5E28"/>
    <w:rsid w:val="006A697B"/>
    <w:rsid w:val="006A7AFF"/>
    <w:rsid w:val="006B1816"/>
    <w:rsid w:val="006B2099"/>
    <w:rsid w:val="006B50CF"/>
    <w:rsid w:val="006B5412"/>
    <w:rsid w:val="006B7BD8"/>
    <w:rsid w:val="006C03B8"/>
    <w:rsid w:val="006C1DB4"/>
    <w:rsid w:val="006C5733"/>
    <w:rsid w:val="006C5EC9"/>
    <w:rsid w:val="006C6059"/>
    <w:rsid w:val="006C6949"/>
    <w:rsid w:val="006C7522"/>
    <w:rsid w:val="006D04D1"/>
    <w:rsid w:val="006D3AA6"/>
    <w:rsid w:val="006D5810"/>
    <w:rsid w:val="006D6F08"/>
    <w:rsid w:val="006D6FA9"/>
    <w:rsid w:val="006E062C"/>
    <w:rsid w:val="006E16E9"/>
    <w:rsid w:val="006E28B7"/>
    <w:rsid w:val="006E3310"/>
    <w:rsid w:val="006E3F65"/>
    <w:rsid w:val="006E4E39"/>
    <w:rsid w:val="006E565E"/>
    <w:rsid w:val="006E5F94"/>
    <w:rsid w:val="006E6120"/>
    <w:rsid w:val="006E673D"/>
    <w:rsid w:val="006E7D3B"/>
    <w:rsid w:val="006F11FE"/>
    <w:rsid w:val="006F1B70"/>
    <w:rsid w:val="006F341D"/>
    <w:rsid w:val="006F3620"/>
    <w:rsid w:val="006F3CDE"/>
    <w:rsid w:val="006F58D4"/>
    <w:rsid w:val="006F5AFE"/>
    <w:rsid w:val="00700A9B"/>
    <w:rsid w:val="0070104C"/>
    <w:rsid w:val="007020A0"/>
    <w:rsid w:val="0070346E"/>
    <w:rsid w:val="00703909"/>
    <w:rsid w:val="00703CA3"/>
    <w:rsid w:val="00704525"/>
    <w:rsid w:val="00704EDB"/>
    <w:rsid w:val="00706101"/>
    <w:rsid w:val="00707072"/>
    <w:rsid w:val="00707D61"/>
    <w:rsid w:val="00712287"/>
    <w:rsid w:val="00712772"/>
    <w:rsid w:val="00713526"/>
    <w:rsid w:val="00713AEA"/>
    <w:rsid w:val="00713D85"/>
    <w:rsid w:val="007148D3"/>
    <w:rsid w:val="00715B9A"/>
    <w:rsid w:val="00725652"/>
    <w:rsid w:val="00726EA6"/>
    <w:rsid w:val="00727208"/>
    <w:rsid w:val="00727680"/>
    <w:rsid w:val="007313EC"/>
    <w:rsid w:val="007348B1"/>
    <w:rsid w:val="007362A6"/>
    <w:rsid w:val="00736D7D"/>
    <w:rsid w:val="007375F2"/>
    <w:rsid w:val="00740E58"/>
    <w:rsid w:val="00743630"/>
    <w:rsid w:val="007445A0"/>
    <w:rsid w:val="0074524B"/>
    <w:rsid w:val="00747D8B"/>
    <w:rsid w:val="007504C4"/>
    <w:rsid w:val="00751228"/>
    <w:rsid w:val="0075188C"/>
    <w:rsid w:val="00756212"/>
    <w:rsid w:val="00756E23"/>
    <w:rsid w:val="007571E1"/>
    <w:rsid w:val="007604B2"/>
    <w:rsid w:val="007605F1"/>
    <w:rsid w:val="00760E38"/>
    <w:rsid w:val="00765281"/>
    <w:rsid w:val="00766BAD"/>
    <w:rsid w:val="00771B71"/>
    <w:rsid w:val="00772F7E"/>
    <w:rsid w:val="007749DC"/>
    <w:rsid w:val="00775299"/>
    <w:rsid w:val="007755F2"/>
    <w:rsid w:val="00776416"/>
    <w:rsid w:val="007767E2"/>
    <w:rsid w:val="00776971"/>
    <w:rsid w:val="00777884"/>
    <w:rsid w:val="0078177E"/>
    <w:rsid w:val="0078304C"/>
    <w:rsid w:val="007831E5"/>
    <w:rsid w:val="00783673"/>
    <w:rsid w:val="00785489"/>
    <w:rsid w:val="00785490"/>
    <w:rsid w:val="0078576A"/>
    <w:rsid w:val="007925EA"/>
    <w:rsid w:val="00793463"/>
    <w:rsid w:val="00793CD8"/>
    <w:rsid w:val="00795C92"/>
    <w:rsid w:val="00796231"/>
    <w:rsid w:val="007A1CB3"/>
    <w:rsid w:val="007A2003"/>
    <w:rsid w:val="007A306F"/>
    <w:rsid w:val="007A43A6"/>
    <w:rsid w:val="007A58A6"/>
    <w:rsid w:val="007A5D82"/>
    <w:rsid w:val="007B2B72"/>
    <w:rsid w:val="007B3D2D"/>
    <w:rsid w:val="007B417C"/>
    <w:rsid w:val="007B4912"/>
    <w:rsid w:val="007B50AE"/>
    <w:rsid w:val="007B51DF"/>
    <w:rsid w:val="007B69DC"/>
    <w:rsid w:val="007C05DD"/>
    <w:rsid w:val="007C3464"/>
    <w:rsid w:val="007C3AFD"/>
    <w:rsid w:val="007C3D18"/>
    <w:rsid w:val="007C60BF"/>
    <w:rsid w:val="007C6A07"/>
    <w:rsid w:val="007C6B25"/>
    <w:rsid w:val="007C75A1"/>
    <w:rsid w:val="007C77A5"/>
    <w:rsid w:val="007D04E5"/>
    <w:rsid w:val="007D4E2C"/>
    <w:rsid w:val="007D5901"/>
    <w:rsid w:val="007D7526"/>
    <w:rsid w:val="007E4610"/>
    <w:rsid w:val="007E4715"/>
    <w:rsid w:val="007E4958"/>
    <w:rsid w:val="007E505B"/>
    <w:rsid w:val="007E5EFF"/>
    <w:rsid w:val="007E7091"/>
    <w:rsid w:val="007E7F7C"/>
    <w:rsid w:val="007F22C6"/>
    <w:rsid w:val="007F7230"/>
    <w:rsid w:val="00803647"/>
    <w:rsid w:val="00803FAE"/>
    <w:rsid w:val="0080605F"/>
    <w:rsid w:val="00807786"/>
    <w:rsid w:val="008078FF"/>
    <w:rsid w:val="00807D52"/>
    <w:rsid w:val="00811FCB"/>
    <w:rsid w:val="008158D6"/>
    <w:rsid w:val="0081599E"/>
    <w:rsid w:val="00817196"/>
    <w:rsid w:val="00820E6D"/>
    <w:rsid w:val="008235DB"/>
    <w:rsid w:val="00824AB4"/>
    <w:rsid w:val="00825284"/>
    <w:rsid w:val="0082571A"/>
    <w:rsid w:val="00825C42"/>
    <w:rsid w:val="00825D25"/>
    <w:rsid w:val="00827D6F"/>
    <w:rsid w:val="008376AC"/>
    <w:rsid w:val="008412EA"/>
    <w:rsid w:val="0084164E"/>
    <w:rsid w:val="00841F73"/>
    <w:rsid w:val="008437DF"/>
    <w:rsid w:val="008444E8"/>
    <w:rsid w:val="00844E80"/>
    <w:rsid w:val="00845754"/>
    <w:rsid w:val="00846888"/>
    <w:rsid w:val="00846FE7"/>
    <w:rsid w:val="00850791"/>
    <w:rsid w:val="00853FD9"/>
    <w:rsid w:val="00856911"/>
    <w:rsid w:val="00857F50"/>
    <w:rsid w:val="0086318D"/>
    <w:rsid w:val="00864239"/>
    <w:rsid w:val="00865BAC"/>
    <w:rsid w:val="00865C41"/>
    <w:rsid w:val="008677FD"/>
    <w:rsid w:val="008706D4"/>
    <w:rsid w:val="00870F8A"/>
    <w:rsid w:val="008719A4"/>
    <w:rsid w:val="00871D23"/>
    <w:rsid w:val="00874312"/>
    <w:rsid w:val="0087437C"/>
    <w:rsid w:val="00875C0E"/>
    <w:rsid w:val="00875CD7"/>
    <w:rsid w:val="00876B4D"/>
    <w:rsid w:val="0087701B"/>
    <w:rsid w:val="00877F18"/>
    <w:rsid w:val="00880032"/>
    <w:rsid w:val="00885BD5"/>
    <w:rsid w:val="00892F30"/>
    <w:rsid w:val="00894A88"/>
    <w:rsid w:val="00895329"/>
    <w:rsid w:val="00895386"/>
    <w:rsid w:val="00895EAC"/>
    <w:rsid w:val="008A0C76"/>
    <w:rsid w:val="008A0DAC"/>
    <w:rsid w:val="008A144F"/>
    <w:rsid w:val="008A21FF"/>
    <w:rsid w:val="008A2CE2"/>
    <w:rsid w:val="008A30AC"/>
    <w:rsid w:val="008A44B8"/>
    <w:rsid w:val="008A46E5"/>
    <w:rsid w:val="008A51A8"/>
    <w:rsid w:val="008A54C7"/>
    <w:rsid w:val="008A6975"/>
    <w:rsid w:val="008A77D8"/>
    <w:rsid w:val="008B0483"/>
    <w:rsid w:val="008B120C"/>
    <w:rsid w:val="008B3C72"/>
    <w:rsid w:val="008B3C95"/>
    <w:rsid w:val="008B51A0"/>
    <w:rsid w:val="008B592A"/>
    <w:rsid w:val="008B696A"/>
    <w:rsid w:val="008B7997"/>
    <w:rsid w:val="008B7B5C"/>
    <w:rsid w:val="008C0B84"/>
    <w:rsid w:val="008C0C99"/>
    <w:rsid w:val="008C1C91"/>
    <w:rsid w:val="008C2017"/>
    <w:rsid w:val="008C4958"/>
    <w:rsid w:val="008C4BAA"/>
    <w:rsid w:val="008C6AE8"/>
    <w:rsid w:val="008C7573"/>
    <w:rsid w:val="008D1668"/>
    <w:rsid w:val="008D34F1"/>
    <w:rsid w:val="008D39D8"/>
    <w:rsid w:val="008D6D1A"/>
    <w:rsid w:val="008E065E"/>
    <w:rsid w:val="008E0927"/>
    <w:rsid w:val="008E1909"/>
    <w:rsid w:val="008E1990"/>
    <w:rsid w:val="008E4D7C"/>
    <w:rsid w:val="008F159A"/>
    <w:rsid w:val="008F1EAB"/>
    <w:rsid w:val="008F33DC"/>
    <w:rsid w:val="008F477F"/>
    <w:rsid w:val="008F6C28"/>
    <w:rsid w:val="00902350"/>
    <w:rsid w:val="0090336B"/>
    <w:rsid w:val="009053AA"/>
    <w:rsid w:val="00906939"/>
    <w:rsid w:val="00910A74"/>
    <w:rsid w:val="00910B7D"/>
    <w:rsid w:val="00911DFB"/>
    <w:rsid w:val="009139D9"/>
    <w:rsid w:val="00914AD8"/>
    <w:rsid w:val="00916079"/>
    <w:rsid w:val="00917CE9"/>
    <w:rsid w:val="00920480"/>
    <w:rsid w:val="00920BF2"/>
    <w:rsid w:val="009210EF"/>
    <w:rsid w:val="00921C93"/>
    <w:rsid w:val="00921D86"/>
    <w:rsid w:val="00922010"/>
    <w:rsid w:val="00923D75"/>
    <w:rsid w:val="00925372"/>
    <w:rsid w:val="00926C87"/>
    <w:rsid w:val="009305EA"/>
    <w:rsid w:val="00931BD9"/>
    <w:rsid w:val="00932336"/>
    <w:rsid w:val="0093233C"/>
    <w:rsid w:val="009368F3"/>
    <w:rsid w:val="00941636"/>
    <w:rsid w:val="00941896"/>
    <w:rsid w:val="009434D2"/>
    <w:rsid w:val="00943742"/>
    <w:rsid w:val="009438E3"/>
    <w:rsid w:val="00945C05"/>
    <w:rsid w:val="00946945"/>
    <w:rsid w:val="00947713"/>
    <w:rsid w:val="00950DE7"/>
    <w:rsid w:val="00951E5C"/>
    <w:rsid w:val="00952C3E"/>
    <w:rsid w:val="00953134"/>
    <w:rsid w:val="00953920"/>
    <w:rsid w:val="00953D47"/>
    <w:rsid w:val="0095491E"/>
    <w:rsid w:val="0095681E"/>
    <w:rsid w:val="009572D4"/>
    <w:rsid w:val="00957408"/>
    <w:rsid w:val="00961921"/>
    <w:rsid w:val="00962968"/>
    <w:rsid w:val="0096430A"/>
    <w:rsid w:val="00964B5A"/>
    <w:rsid w:val="0096554B"/>
    <w:rsid w:val="0096584A"/>
    <w:rsid w:val="00967990"/>
    <w:rsid w:val="00971626"/>
    <w:rsid w:val="00971F08"/>
    <w:rsid w:val="0097603D"/>
    <w:rsid w:val="00976949"/>
    <w:rsid w:val="00980477"/>
    <w:rsid w:val="0098262A"/>
    <w:rsid w:val="00982B24"/>
    <w:rsid w:val="00985245"/>
    <w:rsid w:val="00985253"/>
    <w:rsid w:val="009853B3"/>
    <w:rsid w:val="009879BB"/>
    <w:rsid w:val="00990630"/>
    <w:rsid w:val="00991761"/>
    <w:rsid w:val="00992BFD"/>
    <w:rsid w:val="00994B72"/>
    <w:rsid w:val="00994DCA"/>
    <w:rsid w:val="009960EC"/>
    <w:rsid w:val="00996FD4"/>
    <w:rsid w:val="009970DD"/>
    <w:rsid w:val="009A00CE"/>
    <w:rsid w:val="009A0FBA"/>
    <w:rsid w:val="009A11A5"/>
    <w:rsid w:val="009A1601"/>
    <w:rsid w:val="009A1A4F"/>
    <w:rsid w:val="009A2795"/>
    <w:rsid w:val="009A3221"/>
    <w:rsid w:val="009A462D"/>
    <w:rsid w:val="009A5B25"/>
    <w:rsid w:val="009A5CBA"/>
    <w:rsid w:val="009A7541"/>
    <w:rsid w:val="009B1347"/>
    <w:rsid w:val="009B1F30"/>
    <w:rsid w:val="009B3AC2"/>
    <w:rsid w:val="009B3F2D"/>
    <w:rsid w:val="009B4DF4"/>
    <w:rsid w:val="009B564E"/>
    <w:rsid w:val="009B7999"/>
    <w:rsid w:val="009B7E87"/>
    <w:rsid w:val="009C403E"/>
    <w:rsid w:val="009C7453"/>
    <w:rsid w:val="009D4FF0"/>
    <w:rsid w:val="009D703C"/>
    <w:rsid w:val="009D718F"/>
    <w:rsid w:val="009E068F"/>
    <w:rsid w:val="009E14E0"/>
    <w:rsid w:val="009E35DB"/>
    <w:rsid w:val="009E47A3"/>
    <w:rsid w:val="009E7AEF"/>
    <w:rsid w:val="009F08F3"/>
    <w:rsid w:val="009F344F"/>
    <w:rsid w:val="009F44CC"/>
    <w:rsid w:val="00A031D8"/>
    <w:rsid w:val="00A0401C"/>
    <w:rsid w:val="00A0439B"/>
    <w:rsid w:val="00A048A8"/>
    <w:rsid w:val="00A04F49"/>
    <w:rsid w:val="00A04FA4"/>
    <w:rsid w:val="00A051D2"/>
    <w:rsid w:val="00A05923"/>
    <w:rsid w:val="00A05BD3"/>
    <w:rsid w:val="00A109A1"/>
    <w:rsid w:val="00A10EEC"/>
    <w:rsid w:val="00A11559"/>
    <w:rsid w:val="00A12085"/>
    <w:rsid w:val="00A1270E"/>
    <w:rsid w:val="00A1284B"/>
    <w:rsid w:val="00A12F07"/>
    <w:rsid w:val="00A13E54"/>
    <w:rsid w:val="00A17F63"/>
    <w:rsid w:val="00A2193B"/>
    <w:rsid w:val="00A2351A"/>
    <w:rsid w:val="00A264A9"/>
    <w:rsid w:val="00A27329"/>
    <w:rsid w:val="00A27785"/>
    <w:rsid w:val="00A30187"/>
    <w:rsid w:val="00A3036B"/>
    <w:rsid w:val="00A3448A"/>
    <w:rsid w:val="00A36297"/>
    <w:rsid w:val="00A37400"/>
    <w:rsid w:val="00A41E2B"/>
    <w:rsid w:val="00A440D0"/>
    <w:rsid w:val="00A458CA"/>
    <w:rsid w:val="00A45B74"/>
    <w:rsid w:val="00A46150"/>
    <w:rsid w:val="00A51154"/>
    <w:rsid w:val="00A51180"/>
    <w:rsid w:val="00A52704"/>
    <w:rsid w:val="00A52E1D"/>
    <w:rsid w:val="00A61499"/>
    <w:rsid w:val="00A62A77"/>
    <w:rsid w:val="00A63483"/>
    <w:rsid w:val="00A657D7"/>
    <w:rsid w:val="00A660AC"/>
    <w:rsid w:val="00A67664"/>
    <w:rsid w:val="00A67E6C"/>
    <w:rsid w:val="00A71B99"/>
    <w:rsid w:val="00A739D0"/>
    <w:rsid w:val="00A746B4"/>
    <w:rsid w:val="00A75F60"/>
    <w:rsid w:val="00A761D4"/>
    <w:rsid w:val="00A76593"/>
    <w:rsid w:val="00A77EC4"/>
    <w:rsid w:val="00A82164"/>
    <w:rsid w:val="00A838B0"/>
    <w:rsid w:val="00A84D6B"/>
    <w:rsid w:val="00A8555A"/>
    <w:rsid w:val="00A92879"/>
    <w:rsid w:val="00A928F2"/>
    <w:rsid w:val="00A92BEC"/>
    <w:rsid w:val="00A93EA4"/>
    <w:rsid w:val="00A9442A"/>
    <w:rsid w:val="00AA016F"/>
    <w:rsid w:val="00AA1ED6"/>
    <w:rsid w:val="00AA35B9"/>
    <w:rsid w:val="00AA3DED"/>
    <w:rsid w:val="00AA51D6"/>
    <w:rsid w:val="00AB0BC8"/>
    <w:rsid w:val="00AB11CA"/>
    <w:rsid w:val="00AB1418"/>
    <w:rsid w:val="00AB14D9"/>
    <w:rsid w:val="00AB4AB8"/>
    <w:rsid w:val="00AB655E"/>
    <w:rsid w:val="00AB6AF7"/>
    <w:rsid w:val="00AC007F"/>
    <w:rsid w:val="00AC2ECD"/>
    <w:rsid w:val="00AC30DA"/>
    <w:rsid w:val="00AC3119"/>
    <w:rsid w:val="00AC49FB"/>
    <w:rsid w:val="00AC50D8"/>
    <w:rsid w:val="00AC538C"/>
    <w:rsid w:val="00AC5A10"/>
    <w:rsid w:val="00AD0642"/>
    <w:rsid w:val="00AD0AA3"/>
    <w:rsid w:val="00AD2ED9"/>
    <w:rsid w:val="00AD3F94"/>
    <w:rsid w:val="00AD4A5A"/>
    <w:rsid w:val="00AE032F"/>
    <w:rsid w:val="00AE23D8"/>
    <w:rsid w:val="00AE27AC"/>
    <w:rsid w:val="00AE40E0"/>
    <w:rsid w:val="00AE4DBA"/>
    <w:rsid w:val="00AE4F07"/>
    <w:rsid w:val="00AE57E4"/>
    <w:rsid w:val="00AE63AB"/>
    <w:rsid w:val="00AF0508"/>
    <w:rsid w:val="00AF1C5D"/>
    <w:rsid w:val="00AF2B22"/>
    <w:rsid w:val="00AF42D7"/>
    <w:rsid w:val="00AF78ED"/>
    <w:rsid w:val="00AF7B02"/>
    <w:rsid w:val="00B006FE"/>
    <w:rsid w:val="00B007CB"/>
    <w:rsid w:val="00B02AA9"/>
    <w:rsid w:val="00B02FA3"/>
    <w:rsid w:val="00B05084"/>
    <w:rsid w:val="00B101E0"/>
    <w:rsid w:val="00B130C7"/>
    <w:rsid w:val="00B133D4"/>
    <w:rsid w:val="00B14557"/>
    <w:rsid w:val="00B157F9"/>
    <w:rsid w:val="00B20256"/>
    <w:rsid w:val="00B20D09"/>
    <w:rsid w:val="00B21270"/>
    <w:rsid w:val="00B248B0"/>
    <w:rsid w:val="00B26318"/>
    <w:rsid w:val="00B2680C"/>
    <w:rsid w:val="00B2763F"/>
    <w:rsid w:val="00B27AAC"/>
    <w:rsid w:val="00B30929"/>
    <w:rsid w:val="00B319C7"/>
    <w:rsid w:val="00B372AA"/>
    <w:rsid w:val="00B40445"/>
    <w:rsid w:val="00B41888"/>
    <w:rsid w:val="00B4240F"/>
    <w:rsid w:val="00B45A52"/>
    <w:rsid w:val="00B46175"/>
    <w:rsid w:val="00B6253B"/>
    <w:rsid w:val="00B626BA"/>
    <w:rsid w:val="00B6329B"/>
    <w:rsid w:val="00B664C7"/>
    <w:rsid w:val="00B739F6"/>
    <w:rsid w:val="00B80EF8"/>
    <w:rsid w:val="00B81A6C"/>
    <w:rsid w:val="00B85DE5"/>
    <w:rsid w:val="00B869D5"/>
    <w:rsid w:val="00B90F73"/>
    <w:rsid w:val="00B914B1"/>
    <w:rsid w:val="00B93B59"/>
    <w:rsid w:val="00B9406A"/>
    <w:rsid w:val="00B967FB"/>
    <w:rsid w:val="00B9769C"/>
    <w:rsid w:val="00BA1A18"/>
    <w:rsid w:val="00BA2280"/>
    <w:rsid w:val="00BA2A08"/>
    <w:rsid w:val="00BA56D2"/>
    <w:rsid w:val="00BA60E7"/>
    <w:rsid w:val="00BA6649"/>
    <w:rsid w:val="00BA76E0"/>
    <w:rsid w:val="00BB03FA"/>
    <w:rsid w:val="00BB2A25"/>
    <w:rsid w:val="00BB51E9"/>
    <w:rsid w:val="00BB79CA"/>
    <w:rsid w:val="00BC0FDC"/>
    <w:rsid w:val="00BC240A"/>
    <w:rsid w:val="00BC3053"/>
    <w:rsid w:val="00BC3A1B"/>
    <w:rsid w:val="00BC4D2E"/>
    <w:rsid w:val="00BC6C78"/>
    <w:rsid w:val="00BD4278"/>
    <w:rsid w:val="00BD48AC"/>
    <w:rsid w:val="00BD53A8"/>
    <w:rsid w:val="00BD5F1A"/>
    <w:rsid w:val="00BE1234"/>
    <w:rsid w:val="00BE12E2"/>
    <w:rsid w:val="00BE2FA6"/>
    <w:rsid w:val="00BE333F"/>
    <w:rsid w:val="00BE7406"/>
    <w:rsid w:val="00BE7603"/>
    <w:rsid w:val="00BF1158"/>
    <w:rsid w:val="00BF1596"/>
    <w:rsid w:val="00BF26E5"/>
    <w:rsid w:val="00BF3279"/>
    <w:rsid w:val="00BF3C7F"/>
    <w:rsid w:val="00BF45E0"/>
    <w:rsid w:val="00BF74C7"/>
    <w:rsid w:val="00C015F1"/>
    <w:rsid w:val="00C01F33"/>
    <w:rsid w:val="00C02CC6"/>
    <w:rsid w:val="00C040F7"/>
    <w:rsid w:val="00C044AB"/>
    <w:rsid w:val="00C044DB"/>
    <w:rsid w:val="00C05706"/>
    <w:rsid w:val="00C05DC1"/>
    <w:rsid w:val="00C07377"/>
    <w:rsid w:val="00C10478"/>
    <w:rsid w:val="00C12107"/>
    <w:rsid w:val="00C14D4B"/>
    <w:rsid w:val="00C15176"/>
    <w:rsid w:val="00C154BB"/>
    <w:rsid w:val="00C15ABD"/>
    <w:rsid w:val="00C221EA"/>
    <w:rsid w:val="00C23725"/>
    <w:rsid w:val="00C2663B"/>
    <w:rsid w:val="00C279B5"/>
    <w:rsid w:val="00C27C45"/>
    <w:rsid w:val="00C3354C"/>
    <w:rsid w:val="00C35546"/>
    <w:rsid w:val="00C3719D"/>
    <w:rsid w:val="00C41779"/>
    <w:rsid w:val="00C44678"/>
    <w:rsid w:val="00C45066"/>
    <w:rsid w:val="00C463B9"/>
    <w:rsid w:val="00C467FE"/>
    <w:rsid w:val="00C516E0"/>
    <w:rsid w:val="00C54995"/>
    <w:rsid w:val="00C54D41"/>
    <w:rsid w:val="00C554CF"/>
    <w:rsid w:val="00C55EBC"/>
    <w:rsid w:val="00C605C2"/>
    <w:rsid w:val="00C60783"/>
    <w:rsid w:val="00C61714"/>
    <w:rsid w:val="00C61D1A"/>
    <w:rsid w:val="00C63AE3"/>
    <w:rsid w:val="00C64672"/>
    <w:rsid w:val="00C66B28"/>
    <w:rsid w:val="00C67775"/>
    <w:rsid w:val="00C678F7"/>
    <w:rsid w:val="00C70628"/>
    <w:rsid w:val="00C70697"/>
    <w:rsid w:val="00C70AF7"/>
    <w:rsid w:val="00C7243D"/>
    <w:rsid w:val="00C72735"/>
    <w:rsid w:val="00C72EF4"/>
    <w:rsid w:val="00C759C3"/>
    <w:rsid w:val="00C75D2F"/>
    <w:rsid w:val="00C767BE"/>
    <w:rsid w:val="00C76E3C"/>
    <w:rsid w:val="00C81568"/>
    <w:rsid w:val="00C8424C"/>
    <w:rsid w:val="00C862BC"/>
    <w:rsid w:val="00C9027A"/>
    <w:rsid w:val="00C9068E"/>
    <w:rsid w:val="00C93C4B"/>
    <w:rsid w:val="00C944AB"/>
    <w:rsid w:val="00C95B40"/>
    <w:rsid w:val="00C97048"/>
    <w:rsid w:val="00CA1ED8"/>
    <w:rsid w:val="00CA33F2"/>
    <w:rsid w:val="00CB00AD"/>
    <w:rsid w:val="00CB1F63"/>
    <w:rsid w:val="00CB4738"/>
    <w:rsid w:val="00CB64E9"/>
    <w:rsid w:val="00CB6F3C"/>
    <w:rsid w:val="00CB7170"/>
    <w:rsid w:val="00CB799E"/>
    <w:rsid w:val="00CB7E56"/>
    <w:rsid w:val="00CC040E"/>
    <w:rsid w:val="00CC08EB"/>
    <w:rsid w:val="00CC111F"/>
    <w:rsid w:val="00CC1941"/>
    <w:rsid w:val="00CC2011"/>
    <w:rsid w:val="00CC234A"/>
    <w:rsid w:val="00CC3EA0"/>
    <w:rsid w:val="00CC6040"/>
    <w:rsid w:val="00CC7B45"/>
    <w:rsid w:val="00CD1188"/>
    <w:rsid w:val="00CD2ED1"/>
    <w:rsid w:val="00CD337B"/>
    <w:rsid w:val="00CE0424"/>
    <w:rsid w:val="00CE18C1"/>
    <w:rsid w:val="00CE1983"/>
    <w:rsid w:val="00CE2C2F"/>
    <w:rsid w:val="00CE4EBA"/>
    <w:rsid w:val="00CE7561"/>
    <w:rsid w:val="00CF1354"/>
    <w:rsid w:val="00CF3B1F"/>
    <w:rsid w:val="00CF3BF6"/>
    <w:rsid w:val="00CF625B"/>
    <w:rsid w:val="00CF687E"/>
    <w:rsid w:val="00D02520"/>
    <w:rsid w:val="00D02C0E"/>
    <w:rsid w:val="00D0349B"/>
    <w:rsid w:val="00D04BC8"/>
    <w:rsid w:val="00D0742D"/>
    <w:rsid w:val="00D10249"/>
    <w:rsid w:val="00D10AD3"/>
    <w:rsid w:val="00D10D23"/>
    <w:rsid w:val="00D10D2D"/>
    <w:rsid w:val="00D114D1"/>
    <w:rsid w:val="00D115C3"/>
    <w:rsid w:val="00D11897"/>
    <w:rsid w:val="00D13135"/>
    <w:rsid w:val="00D13E4E"/>
    <w:rsid w:val="00D14BA4"/>
    <w:rsid w:val="00D15EA9"/>
    <w:rsid w:val="00D16F60"/>
    <w:rsid w:val="00D2232E"/>
    <w:rsid w:val="00D22FBE"/>
    <w:rsid w:val="00D239A7"/>
    <w:rsid w:val="00D23F47"/>
    <w:rsid w:val="00D24C83"/>
    <w:rsid w:val="00D25216"/>
    <w:rsid w:val="00D25A4B"/>
    <w:rsid w:val="00D2693A"/>
    <w:rsid w:val="00D34123"/>
    <w:rsid w:val="00D36E71"/>
    <w:rsid w:val="00D37D87"/>
    <w:rsid w:val="00D37FB3"/>
    <w:rsid w:val="00D40A76"/>
    <w:rsid w:val="00D40B33"/>
    <w:rsid w:val="00D41FEF"/>
    <w:rsid w:val="00D4318F"/>
    <w:rsid w:val="00D438BF"/>
    <w:rsid w:val="00D43E89"/>
    <w:rsid w:val="00D440F8"/>
    <w:rsid w:val="00D546FF"/>
    <w:rsid w:val="00D55AD5"/>
    <w:rsid w:val="00D576CA"/>
    <w:rsid w:val="00D61AF5"/>
    <w:rsid w:val="00D63714"/>
    <w:rsid w:val="00D63E01"/>
    <w:rsid w:val="00D64AF8"/>
    <w:rsid w:val="00D652B5"/>
    <w:rsid w:val="00D65796"/>
    <w:rsid w:val="00D66155"/>
    <w:rsid w:val="00D66516"/>
    <w:rsid w:val="00D67780"/>
    <w:rsid w:val="00D708B0"/>
    <w:rsid w:val="00D77407"/>
    <w:rsid w:val="00D77B1D"/>
    <w:rsid w:val="00D8021F"/>
    <w:rsid w:val="00D80383"/>
    <w:rsid w:val="00D821CE"/>
    <w:rsid w:val="00D823C6"/>
    <w:rsid w:val="00D854BE"/>
    <w:rsid w:val="00D85BD2"/>
    <w:rsid w:val="00D86CA3"/>
    <w:rsid w:val="00D871CE"/>
    <w:rsid w:val="00D90275"/>
    <w:rsid w:val="00D915D3"/>
    <w:rsid w:val="00D9196D"/>
    <w:rsid w:val="00D92982"/>
    <w:rsid w:val="00D93C8E"/>
    <w:rsid w:val="00D9453C"/>
    <w:rsid w:val="00DA048F"/>
    <w:rsid w:val="00DA1B30"/>
    <w:rsid w:val="00DA305E"/>
    <w:rsid w:val="00DA5417"/>
    <w:rsid w:val="00DA56E8"/>
    <w:rsid w:val="00DB0A9F"/>
    <w:rsid w:val="00DB3185"/>
    <w:rsid w:val="00DB3728"/>
    <w:rsid w:val="00DB377D"/>
    <w:rsid w:val="00DC0F09"/>
    <w:rsid w:val="00DC2D36"/>
    <w:rsid w:val="00DC53EF"/>
    <w:rsid w:val="00DD184D"/>
    <w:rsid w:val="00DD19F6"/>
    <w:rsid w:val="00DE0D47"/>
    <w:rsid w:val="00DE3A32"/>
    <w:rsid w:val="00DE544E"/>
    <w:rsid w:val="00DE5608"/>
    <w:rsid w:val="00DE58D0"/>
    <w:rsid w:val="00DE654F"/>
    <w:rsid w:val="00DF0343"/>
    <w:rsid w:val="00DF0B6E"/>
    <w:rsid w:val="00DF15E0"/>
    <w:rsid w:val="00DF2A2C"/>
    <w:rsid w:val="00DF37A0"/>
    <w:rsid w:val="00DF40EE"/>
    <w:rsid w:val="00DF6C09"/>
    <w:rsid w:val="00DF7192"/>
    <w:rsid w:val="00DF7844"/>
    <w:rsid w:val="00E02C54"/>
    <w:rsid w:val="00E02DD1"/>
    <w:rsid w:val="00E0393B"/>
    <w:rsid w:val="00E06CA4"/>
    <w:rsid w:val="00E110E7"/>
    <w:rsid w:val="00E113AA"/>
    <w:rsid w:val="00E11B20"/>
    <w:rsid w:val="00E17FA2"/>
    <w:rsid w:val="00E215AF"/>
    <w:rsid w:val="00E21AC1"/>
    <w:rsid w:val="00E22330"/>
    <w:rsid w:val="00E25748"/>
    <w:rsid w:val="00E30B5A"/>
    <w:rsid w:val="00E3123D"/>
    <w:rsid w:val="00E31461"/>
    <w:rsid w:val="00E31D43"/>
    <w:rsid w:val="00E31EE3"/>
    <w:rsid w:val="00E32608"/>
    <w:rsid w:val="00E33F06"/>
    <w:rsid w:val="00E34188"/>
    <w:rsid w:val="00E34B6E"/>
    <w:rsid w:val="00E35559"/>
    <w:rsid w:val="00E3581C"/>
    <w:rsid w:val="00E3723A"/>
    <w:rsid w:val="00E37824"/>
    <w:rsid w:val="00E37860"/>
    <w:rsid w:val="00E431AA"/>
    <w:rsid w:val="00E434B5"/>
    <w:rsid w:val="00E446F1"/>
    <w:rsid w:val="00E44897"/>
    <w:rsid w:val="00E46886"/>
    <w:rsid w:val="00E47AEF"/>
    <w:rsid w:val="00E53B75"/>
    <w:rsid w:val="00E54E3B"/>
    <w:rsid w:val="00E57565"/>
    <w:rsid w:val="00E61D41"/>
    <w:rsid w:val="00E63838"/>
    <w:rsid w:val="00E64434"/>
    <w:rsid w:val="00E66078"/>
    <w:rsid w:val="00E67C51"/>
    <w:rsid w:val="00E70446"/>
    <w:rsid w:val="00E72EFC"/>
    <w:rsid w:val="00E7418E"/>
    <w:rsid w:val="00E758EC"/>
    <w:rsid w:val="00E80BFF"/>
    <w:rsid w:val="00E8234C"/>
    <w:rsid w:val="00E83AA9"/>
    <w:rsid w:val="00E85928"/>
    <w:rsid w:val="00E86D95"/>
    <w:rsid w:val="00E87822"/>
    <w:rsid w:val="00E90395"/>
    <w:rsid w:val="00E90E49"/>
    <w:rsid w:val="00E917F9"/>
    <w:rsid w:val="00E9291C"/>
    <w:rsid w:val="00E93FFE"/>
    <w:rsid w:val="00E94341"/>
    <w:rsid w:val="00E94F8A"/>
    <w:rsid w:val="00E96A1C"/>
    <w:rsid w:val="00E97C75"/>
    <w:rsid w:val="00EA6529"/>
    <w:rsid w:val="00EA7117"/>
    <w:rsid w:val="00EA7A41"/>
    <w:rsid w:val="00EB02BB"/>
    <w:rsid w:val="00EB077B"/>
    <w:rsid w:val="00EB4EA2"/>
    <w:rsid w:val="00EB50BE"/>
    <w:rsid w:val="00EC08EA"/>
    <w:rsid w:val="00EC27C6"/>
    <w:rsid w:val="00EC4207"/>
    <w:rsid w:val="00EC5653"/>
    <w:rsid w:val="00EC71CE"/>
    <w:rsid w:val="00EC7D98"/>
    <w:rsid w:val="00ED0393"/>
    <w:rsid w:val="00ED1006"/>
    <w:rsid w:val="00ED23F9"/>
    <w:rsid w:val="00ED5A72"/>
    <w:rsid w:val="00ED6147"/>
    <w:rsid w:val="00ED7FD8"/>
    <w:rsid w:val="00EE2A8E"/>
    <w:rsid w:val="00EE5D29"/>
    <w:rsid w:val="00EE78FF"/>
    <w:rsid w:val="00EF0D16"/>
    <w:rsid w:val="00EF18FE"/>
    <w:rsid w:val="00EF2322"/>
    <w:rsid w:val="00EF279B"/>
    <w:rsid w:val="00EF456C"/>
    <w:rsid w:val="00EF5787"/>
    <w:rsid w:val="00EF60D0"/>
    <w:rsid w:val="00EF718B"/>
    <w:rsid w:val="00EF71D8"/>
    <w:rsid w:val="00F002A6"/>
    <w:rsid w:val="00F0528D"/>
    <w:rsid w:val="00F06C14"/>
    <w:rsid w:val="00F06C67"/>
    <w:rsid w:val="00F06DFD"/>
    <w:rsid w:val="00F06F1F"/>
    <w:rsid w:val="00F071D1"/>
    <w:rsid w:val="00F07533"/>
    <w:rsid w:val="00F10629"/>
    <w:rsid w:val="00F13CE9"/>
    <w:rsid w:val="00F15FA5"/>
    <w:rsid w:val="00F15FB8"/>
    <w:rsid w:val="00F1628C"/>
    <w:rsid w:val="00F16CDF"/>
    <w:rsid w:val="00F209B7"/>
    <w:rsid w:val="00F2376F"/>
    <w:rsid w:val="00F2388F"/>
    <w:rsid w:val="00F243D8"/>
    <w:rsid w:val="00F30099"/>
    <w:rsid w:val="00F30828"/>
    <w:rsid w:val="00F313D6"/>
    <w:rsid w:val="00F34889"/>
    <w:rsid w:val="00F35995"/>
    <w:rsid w:val="00F40F0C"/>
    <w:rsid w:val="00F43269"/>
    <w:rsid w:val="00F45899"/>
    <w:rsid w:val="00F4766C"/>
    <w:rsid w:val="00F47D80"/>
    <w:rsid w:val="00F5060E"/>
    <w:rsid w:val="00F507D1"/>
    <w:rsid w:val="00F519CE"/>
    <w:rsid w:val="00F51ADA"/>
    <w:rsid w:val="00F51BBB"/>
    <w:rsid w:val="00F54231"/>
    <w:rsid w:val="00F54328"/>
    <w:rsid w:val="00F56007"/>
    <w:rsid w:val="00F607C5"/>
    <w:rsid w:val="00F60B8A"/>
    <w:rsid w:val="00F60DEA"/>
    <w:rsid w:val="00F626AC"/>
    <w:rsid w:val="00F6302A"/>
    <w:rsid w:val="00F638CA"/>
    <w:rsid w:val="00F63EE5"/>
    <w:rsid w:val="00F6403D"/>
    <w:rsid w:val="00F64C2B"/>
    <w:rsid w:val="00F651BE"/>
    <w:rsid w:val="00F67F53"/>
    <w:rsid w:val="00F703BE"/>
    <w:rsid w:val="00F715F8"/>
    <w:rsid w:val="00F71F69"/>
    <w:rsid w:val="00F72AFA"/>
    <w:rsid w:val="00F72B72"/>
    <w:rsid w:val="00F72B7D"/>
    <w:rsid w:val="00F746D7"/>
    <w:rsid w:val="00F74818"/>
    <w:rsid w:val="00F74BB9"/>
    <w:rsid w:val="00F75496"/>
    <w:rsid w:val="00F75582"/>
    <w:rsid w:val="00F76578"/>
    <w:rsid w:val="00F76EFA"/>
    <w:rsid w:val="00F77ED4"/>
    <w:rsid w:val="00F804BE"/>
    <w:rsid w:val="00F817CE"/>
    <w:rsid w:val="00F8456C"/>
    <w:rsid w:val="00F859D8"/>
    <w:rsid w:val="00F866D8"/>
    <w:rsid w:val="00F868F5"/>
    <w:rsid w:val="00F86F2E"/>
    <w:rsid w:val="00F9056A"/>
    <w:rsid w:val="00F90F8D"/>
    <w:rsid w:val="00F91D49"/>
    <w:rsid w:val="00F92782"/>
    <w:rsid w:val="00F93AA9"/>
    <w:rsid w:val="00F93D86"/>
    <w:rsid w:val="00F96985"/>
    <w:rsid w:val="00F97838"/>
    <w:rsid w:val="00FA23F0"/>
    <w:rsid w:val="00FA2BB3"/>
    <w:rsid w:val="00FA446D"/>
    <w:rsid w:val="00FA50EC"/>
    <w:rsid w:val="00FA6713"/>
    <w:rsid w:val="00FB436B"/>
    <w:rsid w:val="00FB4C80"/>
    <w:rsid w:val="00FB6A6A"/>
    <w:rsid w:val="00FC21D9"/>
    <w:rsid w:val="00FC319A"/>
    <w:rsid w:val="00FC3CCA"/>
    <w:rsid w:val="00FC7429"/>
    <w:rsid w:val="00FD07F6"/>
    <w:rsid w:val="00FD1BE3"/>
    <w:rsid w:val="00FD1EC8"/>
    <w:rsid w:val="00FD2798"/>
    <w:rsid w:val="00FD47ED"/>
    <w:rsid w:val="00FD4C23"/>
    <w:rsid w:val="00FD74DB"/>
    <w:rsid w:val="00FD7660"/>
    <w:rsid w:val="00FE0655"/>
    <w:rsid w:val="00FE08D3"/>
    <w:rsid w:val="00FE1C66"/>
    <w:rsid w:val="00FE2365"/>
    <w:rsid w:val="00FE37D7"/>
    <w:rsid w:val="00FE42EE"/>
    <w:rsid w:val="00FE4C7B"/>
    <w:rsid w:val="00FE7336"/>
    <w:rsid w:val="00FE787C"/>
    <w:rsid w:val="00FF0359"/>
    <w:rsid w:val="00FF2DF2"/>
    <w:rsid w:val="00FF45A5"/>
    <w:rsid w:val="00FF519D"/>
    <w:rsid w:val="00FF5C91"/>
    <w:rsid w:val="00FF7C4E"/>
    <w:rsid w:val="01E26599"/>
    <w:rsid w:val="426E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E67E6C6"/>
  <w15:chartTrackingRefBased/>
  <w15:docId w15:val="{58BDBFF4-503B-4C4A-9E62-5E3EBD78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2Char">
    <w:name w:val="B2 Char"/>
    <w:link w:val="B2"/>
    <w:qFormat/>
    <w:rPr>
      <w:rFonts w:ascii="Arial" w:hAnsi="Arial"/>
      <w:lang w:val="en-GB" w:eastAsia="en-US"/>
    </w:rPr>
  </w:style>
  <w:style w:type="character" w:styleId="a4">
    <w:name w:val="Hyperlink"/>
    <w:uiPriority w:val="99"/>
    <w:rPr>
      <w:color w:val="0000FF"/>
      <w:u w:val="single"/>
      <w:lang w:val="en-GB"/>
    </w:rPr>
  </w:style>
  <w:style w:type="character" w:styleId="a5">
    <w:name w:val="page number"/>
    <w:basedOn w:val="a1"/>
    <w:semiHidden/>
  </w:style>
  <w:style w:type="character" w:customStyle="1" w:styleId="B1Char1">
    <w:name w:val="B1 Char1"/>
    <w:qFormat/>
    <w:rPr>
      <w:rFonts w:eastAsia="Times New Roman"/>
    </w:rPr>
  </w:style>
  <w:style w:type="character" w:customStyle="1" w:styleId="a6">
    <w:name w:val="页脚 字符"/>
    <w:link w:val="a7"/>
    <w:uiPriority w:val="99"/>
    <w:qFormat/>
    <w:locked/>
    <w:rPr>
      <w:rFonts w:ascii="Arial" w:hAnsi="Arial" w:cs="Arial"/>
      <w:b/>
      <w:bCs/>
      <w:i/>
      <w:iCs/>
      <w:sz w:val="18"/>
      <w:szCs w:val="18"/>
      <w:lang w:val="en-US" w:eastAsia="en-US"/>
    </w:rPr>
  </w:style>
  <w:style w:type="character" w:customStyle="1" w:styleId="a8">
    <w:name w:val="列表段落 字符"/>
    <w:link w:val="a9"/>
    <w:uiPriority w:val="34"/>
    <w:qFormat/>
    <w:rPr>
      <w:rFonts w:ascii="Arial" w:hAnsi="Arial"/>
      <w:lang w:val="en-GB"/>
    </w:rPr>
  </w:style>
  <w:style w:type="character" w:customStyle="1" w:styleId="TFChar">
    <w:name w:val="TF Char"/>
    <w:link w:val="TF"/>
    <w:rPr>
      <w:rFonts w:ascii="Arial" w:hAnsi="Arial"/>
      <w:b/>
      <w:lang w:val="en-GB" w:eastAsia="en-US"/>
    </w:rPr>
  </w:style>
  <w:style w:type="character" w:styleId="aa">
    <w:name w:val="footnote reference"/>
    <w:semiHidden/>
    <w:rPr>
      <w:b/>
      <w:bCs/>
      <w:position w:val="6"/>
      <w:sz w:val="16"/>
      <w:szCs w:val="16"/>
    </w:rPr>
  </w:style>
  <w:style w:type="character" w:customStyle="1" w:styleId="TALCar">
    <w:name w:val="TAL Car"/>
    <w:link w:val="TAL"/>
    <w:qFormat/>
    <w:rPr>
      <w:rFonts w:ascii="Arial" w:hAnsi="Arial"/>
      <w:sz w:val="18"/>
      <w:lang w:val="en-GB" w:eastAsia="en-US"/>
    </w:rPr>
  </w:style>
  <w:style w:type="character" w:customStyle="1" w:styleId="NOChar">
    <w:name w:val="NO Char"/>
    <w:link w:val="NO"/>
    <w:rPr>
      <w:rFonts w:ascii="Times New Roman" w:eastAsia="Times New Roman" w:hAnsi="Times New Roman"/>
    </w:rPr>
  </w:style>
  <w:style w:type="character" w:styleId="ab">
    <w:name w:val="annotation reference"/>
    <w:semiHidden/>
    <w:rPr>
      <w:sz w:val="16"/>
      <w:szCs w:val="16"/>
    </w:rPr>
  </w:style>
  <w:style w:type="character" w:customStyle="1" w:styleId="ac">
    <w:name w:val="首标题"/>
    <w:uiPriority w:val="99"/>
    <w:qFormat/>
    <w:rPr>
      <w:rFonts w:ascii="Arial" w:hAnsi="Arial" w:cs="Times New Roman"/>
      <w:sz w:val="24"/>
    </w:rPr>
  </w:style>
  <w:style w:type="character" w:customStyle="1" w:styleId="B1Char">
    <w:name w:val="B1 Char"/>
    <w:link w:val="B1"/>
    <w:rPr>
      <w:rFonts w:ascii="Arial" w:hAnsi="Arial"/>
      <w:lang w:val="en-GB" w:eastAsia="en-US"/>
    </w:rPr>
  </w:style>
  <w:style w:type="character" w:customStyle="1" w:styleId="ad">
    <w:name w:val="页眉 字符"/>
    <w:link w:val="ae"/>
    <w:uiPriority w:val="99"/>
    <w:qFormat/>
    <w:locked/>
    <w:rPr>
      <w:rFonts w:ascii="Arial" w:hAnsi="Arial" w:cs="Arial"/>
      <w:b/>
      <w:bCs/>
      <w:sz w:val="18"/>
      <w:szCs w:val="18"/>
      <w:lang w:val="en-US" w:eastAsia="en-US"/>
    </w:rPr>
  </w:style>
  <w:style w:type="character" w:customStyle="1" w:styleId="TAHCar">
    <w:name w:val="TAH Car"/>
    <w:link w:val="TAH"/>
    <w:qFormat/>
    <w:locked/>
    <w:rPr>
      <w:rFonts w:ascii="Arial" w:hAnsi="Arial"/>
      <w:b/>
      <w:sz w:val="18"/>
      <w:lang w:val="en-GB" w:eastAsia="en-US"/>
    </w:rPr>
  </w:style>
  <w:style w:type="character" w:styleId="af">
    <w:name w:val="FollowedHyperlink"/>
    <w:semiHidden/>
    <w:rPr>
      <w:color w:val="FF0000"/>
      <w:u w:val="single"/>
    </w:rPr>
  </w:style>
  <w:style w:type="character" w:customStyle="1" w:styleId="ZGSM">
    <w:name w:val="ZGSM"/>
  </w:style>
  <w:style w:type="character" w:customStyle="1" w:styleId="THChar">
    <w:name w:val="TH Char"/>
    <w:link w:val="TH"/>
    <w:rPr>
      <w:rFonts w:ascii="Arial" w:hAnsi="Arial"/>
      <w:b/>
      <w:lang w:val="en-GB" w:eastAsia="en-US"/>
    </w:rPr>
  </w:style>
  <w:style w:type="character" w:customStyle="1" w:styleId="st">
    <w:name w:val="st"/>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PLChar">
    <w:name w:val="PL Char"/>
    <w:link w:val="PL"/>
    <w:qFormat/>
    <w:rPr>
      <w:rFonts w:ascii="Courier New" w:eastAsia="Times New Roman" w:hAnsi="Courier New"/>
      <w:sz w:val="16"/>
      <w:lang w:val="en-US" w:eastAsia="en-US"/>
    </w:rPr>
  </w:style>
  <w:style w:type="character" w:customStyle="1" w:styleId="af0">
    <w:name w:val="正文文本 字符"/>
    <w:link w:val="af1"/>
    <w:rPr>
      <w:rFonts w:ascii="Arial" w:hAnsi="Arial"/>
      <w:lang w:val="en-GB"/>
    </w:rPr>
  </w:style>
  <w:style w:type="character" w:customStyle="1" w:styleId="10">
    <w:name w:val="标题 1 字符"/>
    <w:link w:val="1"/>
    <w:rPr>
      <w:rFonts w:ascii="Arial" w:hAnsi="Arial" w:cs="Arial"/>
      <w:sz w:val="36"/>
      <w:szCs w:val="36"/>
      <w:lang w:val="en-GB"/>
    </w:rPr>
  </w:style>
  <w:style w:type="character" w:customStyle="1" w:styleId="Doc-text2Char">
    <w:name w:val="Doc-text2 Char"/>
    <w:link w:val="Doc-text2"/>
    <w:rPr>
      <w:rFonts w:ascii="Arial" w:eastAsia="MS Mincho" w:hAnsi="Arial"/>
      <w:szCs w:val="24"/>
      <w:lang w:val="en-GB" w:eastAsia="en-GB"/>
    </w:rPr>
  </w:style>
  <w:style w:type="character" w:customStyle="1" w:styleId="LGTdocChar">
    <w:name w:val="LGTdoc_본문 Char"/>
    <w:link w:val="LGTdoc"/>
    <w:rPr>
      <w:rFonts w:ascii="Times New Roman" w:eastAsia="Batang" w:hAnsi="Times New Roman"/>
      <w:kern w:val="2"/>
      <w:sz w:val="22"/>
      <w:szCs w:val="24"/>
      <w:lang w:val="en-GB" w:eastAsia="ko-KR"/>
    </w:rPr>
  </w:style>
  <w:style w:type="paragraph" w:customStyle="1" w:styleId="EX">
    <w:name w:val="EX"/>
    <w:basedOn w:val="a0"/>
    <w:pPr>
      <w:keepLines/>
      <w:spacing w:after="180"/>
      <w:ind w:left="1702" w:hanging="1418"/>
      <w:jc w:val="left"/>
    </w:pPr>
    <w:rPr>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W">
    <w:name w:val="EW"/>
    <w:basedOn w:val="EX"/>
    <w:pPr>
      <w:spacing w:after="0"/>
    </w:pPr>
  </w:style>
  <w:style w:type="paragraph" w:customStyle="1" w:styleId="TAH">
    <w:name w:val="TAH"/>
    <w:basedOn w:val="TAC"/>
    <w:link w:val="TAHCar"/>
    <w:qFormat/>
    <w:rPr>
      <w:b/>
    </w:rPr>
  </w:style>
  <w:style w:type="paragraph" w:customStyle="1" w:styleId="3GPPHeader">
    <w:name w:val="3GPP_Header"/>
    <w:basedOn w:val="a0"/>
    <w:pPr>
      <w:tabs>
        <w:tab w:val="left" w:pos="1701"/>
        <w:tab w:val="right" w:pos="9639"/>
      </w:tabs>
      <w:spacing w:after="240"/>
    </w:pPr>
    <w:rPr>
      <w:b/>
      <w:sz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B4">
    <w:name w:val="B4"/>
    <w:basedOn w:val="41"/>
    <w:pPr>
      <w:spacing w:after="180"/>
      <w:jc w:val="left"/>
    </w:pPr>
    <w:rPr>
      <w:lang w:eastAsia="en-US"/>
    </w:rPr>
  </w:style>
  <w:style w:type="paragraph" w:styleId="TOC7">
    <w:name w:val="toc 7"/>
    <w:basedOn w:val="TOC6"/>
    <w:next w:val="a0"/>
    <w:semiHidden/>
    <w:pPr>
      <w:ind w:left="2268" w:hanging="2268"/>
    </w:pPr>
  </w:style>
  <w:style w:type="paragraph" w:customStyle="1" w:styleId="ZTD">
    <w:name w:val="ZTD"/>
    <w:basedOn w:val="ZB"/>
    <w:pPr>
      <w:framePr w:hRule="auto" w:wrap="notBeside" w:y="852"/>
    </w:pPr>
    <w:rPr>
      <w:i w:val="0"/>
      <w:sz w:val="40"/>
    </w:rPr>
  </w:style>
  <w:style w:type="paragraph" w:styleId="af2">
    <w:name w:val="Document Map"/>
    <w:basedOn w:val="a0"/>
    <w:semiHidden/>
    <w:pPr>
      <w:shd w:val="clear" w:color="auto" w:fill="000080"/>
    </w:pPr>
    <w:rPr>
      <w:rFonts w:ascii="Tahoma" w:hAnsi="Tahoma" w:cs="Tahoma"/>
    </w:rPr>
  </w:style>
  <w:style w:type="paragraph" w:styleId="af3">
    <w:name w:val="caption"/>
    <w:basedOn w:val="a0"/>
    <w:next w:val="a0"/>
    <w:qFormat/>
    <w:pPr>
      <w:spacing w:after="240"/>
      <w:jc w:val="center"/>
    </w:pPr>
    <w:rPr>
      <w:b/>
      <w:bCs/>
    </w:rPr>
  </w:style>
  <w:style w:type="paragraph" w:customStyle="1" w:styleId="TAC">
    <w:name w:val="TAC"/>
    <w:basedOn w:val="TAL"/>
    <w:pPr>
      <w:jc w:val="center"/>
    </w:pPr>
  </w:style>
  <w:style w:type="paragraph" w:styleId="af4">
    <w:name w:val="annotation subject"/>
    <w:basedOn w:val="af5"/>
    <w:next w:val="af5"/>
    <w:semiHidden/>
    <w:rPr>
      <w:b/>
      <w:bCs/>
    </w:rPr>
  </w:style>
  <w:style w:type="paragraph" w:customStyle="1" w:styleId="TF">
    <w:name w:val="TF"/>
    <w:basedOn w:val="TH"/>
    <w:link w:val="TFChar"/>
    <w:pPr>
      <w:keepNext w:val="0"/>
      <w:spacing w:before="0" w:after="240"/>
    </w:pPr>
  </w:style>
  <w:style w:type="paragraph" w:customStyle="1" w:styleId="NO">
    <w:name w:val="NO"/>
    <w:basedOn w:val="a0"/>
    <w:link w:val="NOChar"/>
    <w:pPr>
      <w:keepLines/>
      <w:spacing w:after="180"/>
      <w:ind w:left="1135" w:hanging="851"/>
      <w:jc w:val="left"/>
    </w:pPr>
    <w:rPr>
      <w:rFonts w:ascii="Times New Roman" w:eastAsia="Times New Roman" w:hAnsi="Times New Roman"/>
    </w:rPr>
  </w:style>
  <w:style w:type="paragraph" w:styleId="40">
    <w:name w:val="List Bullet 4"/>
    <w:basedOn w:val="30"/>
    <w:pPr>
      <w:numPr>
        <w:numId w:val="2"/>
      </w:numPr>
      <w:tabs>
        <w:tab w:val="left" w:pos="1077"/>
        <w:tab w:val="left" w:pos="1361"/>
      </w:tabs>
    </w:pPr>
  </w:style>
  <w:style w:type="paragraph" w:styleId="21">
    <w:name w:val="List Number 2"/>
    <w:basedOn w:val="af6"/>
    <w:pPr>
      <w:ind w:left="851"/>
    </w:pPr>
  </w:style>
  <w:style w:type="paragraph" w:styleId="31">
    <w:name w:val="Lis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FP">
    <w:name w:val="FP"/>
    <w:basedOn w:val="a0"/>
    <w:pPr>
      <w:spacing w:after="0"/>
      <w:jc w:val="left"/>
    </w:pPr>
    <w:rPr>
      <w:lang w:eastAsia="en-US"/>
    </w:rPr>
  </w:style>
  <w:style w:type="paragraph" w:styleId="af5">
    <w:name w:val="annotation text"/>
    <w:basedOn w:val="a0"/>
    <w:semiHidden/>
  </w:style>
  <w:style w:type="paragraph" w:customStyle="1" w:styleId="Figure">
    <w:name w:val="Figure"/>
    <w:basedOn w:val="a0"/>
    <w:next w:val="af3"/>
    <w:pPr>
      <w:keepNext/>
      <w:keepLines/>
      <w:spacing w:before="180"/>
      <w:jc w:val="center"/>
    </w:pPr>
  </w:style>
  <w:style w:type="paragraph" w:customStyle="1" w:styleId="Observation">
    <w:name w:val="Observation"/>
    <w:basedOn w:val="Proposal"/>
    <w:qFormat/>
    <w:pPr>
      <w:numPr>
        <w:numId w:val="3"/>
      </w:numPr>
      <w:tabs>
        <w:tab w:val="left" w:pos="1304"/>
      </w:tabs>
    </w:pPr>
  </w:style>
  <w:style w:type="paragraph" w:styleId="af6">
    <w:name w:val="List Number"/>
    <w:basedOn w:val="af7"/>
  </w:style>
  <w:style w:type="paragraph" w:customStyle="1" w:styleId="B3">
    <w:name w:val="B3"/>
    <w:basedOn w:val="31"/>
    <w:pPr>
      <w:spacing w:after="180"/>
      <w:jc w:val="left"/>
    </w:pPr>
    <w:rPr>
      <w:lang w:eastAsia="en-US"/>
    </w:rPr>
  </w:style>
  <w:style w:type="paragraph" w:customStyle="1" w:styleId="LGTdoc">
    <w:name w:val="LGTdoc_본문"/>
    <w:basedOn w:val="a0"/>
    <w:link w:val="LGTdocChar"/>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styleId="a">
    <w:name w:val="List Bullet"/>
    <w:basedOn w:val="af1"/>
    <w:pPr>
      <w:numPr>
        <w:numId w:val="4"/>
      </w:numPr>
      <w:tabs>
        <w:tab w:val="left" w:pos="510"/>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styleId="af8">
    <w:name w:val="table of figures"/>
    <w:basedOn w:val="a0"/>
    <w:next w:val="a0"/>
    <w:uiPriority w:val="99"/>
    <w:pPr>
      <w:ind w:left="1418" w:hanging="1418"/>
      <w:jc w:val="left"/>
    </w:pPr>
    <w:rPr>
      <w:b/>
    </w:rPr>
  </w:style>
  <w:style w:type="paragraph" w:styleId="41">
    <w:name w:val="List 4"/>
    <w:basedOn w:val="31"/>
    <w:pPr>
      <w:ind w:left="1418"/>
    </w:pPr>
  </w:style>
  <w:style w:type="paragraph" w:styleId="22">
    <w:name w:val="List 2"/>
    <w:basedOn w:val="af7"/>
    <w:pPr>
      <w:ind w:left="851"/>
    </w:pPr>
  </w:style>
  <w:style w:type="paragraph" w:styleId="51">
    <w:name w:val="List 5"/>
    <w:basedOn w:val="41"/>
    <w:pPr>
      <w:ind w:left="1702"/>
    </w:pPr>
  </w:style>
  <w:style w:type="paragraph" w:customStyle="1" w:styleId="B1">
    <w:name w:val="B1"/>
    <w:basedOn w:val="af7"/>
    <w:link w:val="B1Char"/>
    <w:qFormat/>
    <w:pPr>
      <w:spacing w:after="180"/>
      <w:jc w:val="left"/>
    </w:pPr>
    <w:rPr>
      <w:lang w:eastAsia="en-US"/>
    </w:rPr>
  </w:style>
  <w:style w:type="paragraph" w:styleId="30">
    <w:name w:val="List Bullet 3"/>
    <w:basedOn w:val="20"/>
    <w:pPr>
      <w:numPr>
        <w:numId w:val="5"/>
      </w:numPr>
      <w:tabs>
        <w:tab w:val="left" w:pos="794"/>
        <w:tab w:val="left" w:pos="1077"/>
      </w:tabs>
    </w:pPr>
  </w:style>
  <w:style w:type="paragraph" w:customStyle="1" w:styleId="EditorsNote">
    <w:name w:val="Editor's Note"/>
    <w:basedOn w:val="a0"/>
    <w:pPr>
      <w:keepLines/>
      <w:spacing w:after="180"/>
      <w:ind w:left="1135" w:hanging="851"/>
      <w:jc w:val="left"/>
    </w:pPr>
    <w:rPr>
      <w:color w:val="FF0000"/>
      <w:lang w:eastAsia="en-US"/>
    </w:rPr>
  </w:style>
  <w:style w:type="paragraph" w:styleId="af9">
    <w:name w:val="Balloon Text"/>
    <w:basedOn w:val="a0"/>
    <w:semiHidden/>
    <w:rPr>
      <w:rFonts w:ascii="Tahoma" w:hAnsi="Tahoma" w:cs="Tahoma"/>
      <w:sz w:val="16"/>
      <w:szCs w:val="16"/>
    </w:rPr>
  </w:style>
  <w:style w:type="paragraph" w:styleId="ae">
    <w:name w:val="header"/>
    <w:link w:val="ad"/>
    <w:uiPriority w:val="99"/>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List Bullet 5"/>
    <w:basedOn w:val="40"/>
    <w:pPr>
      <w:numPr>
        <w:numId w:val="6"/>
      </w:numPr>
      <w:tabs>
        <w:tab w:val="left" w:pos="1361"/>
        <w:tab w:val="left" w:pos="1644"/>
      </w:tabs>
    </w:pPr>
  </w:style>
  <w:style w:type="paragraph" w:styleId="af7">
    <w:name w:val="List"/>
    <w:basedOn w:val="a0"/>
    <w:pPr>
      <w:ind w:left="568" w:hanging="284"/>
    </w:pPr>
  </w:style>
  <w:style w:type="paragraph" w:styleId="af1">
    <w:name w:val="Body Text"/>
    <w:basedOn w:val="a0"/>
    <w:link w:val="af0"/>
  </w:style>
  <w:style w:type="paragraph" w:styleId="TOC2">
    <w:name w:val="toc 2"/>
    <w:basedOn w:val="TOC1"/>
    <w:semiHidden/>
    <w:pPr>
      <w:keepNext w:val="0"/>
      <w:spacing w:before="0"/>
      <w:ind w:left="851" w:hanging="851"/>
    </w:pPr>
    <w:rPr>
      <w:szCs w:val="20"/>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TT">
    <w:name w:val="TT"/>
    <w:basedOn w:val="1"/>
    <w:next w:val="a0"/>
    <w:pPr>
      <w:numPr>
        <w:numId w:val="0"/>
      </w:numPr>
      <w:tabs>
        <w:tab w:val="left" w:pos="432"/>
      </w:tabs>
      <w:ind w:left="1134" w:hanging="1134"/>
      <w:outlineLvl w:val="9"/>
    </w:pPr>
    <w:rPr>
      <w:rFonts w:cs="Times New Roman"/>
      <w:szCs w:val="20"/>
      <w:lang w:eastAsia="en-US"/>
    </w:rPr>
  </w:style>
  <w:style w:type="paragraph" w:styleId="TOC4">
    <w:name w:val="toc 4"/>
    <w:basedOn w:val="TOC3"/>
    <w:semiHidden/>
    <w:pPr>
      <w:ind w:left="1418" w:hanging="1418"/>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TAR">
    <w:name w:val="TAR"/>
    <w:basedOn w:val="TAL"/>
    <w:pPr>
      <w:jc w:val="right"/>
    </w:pPr>
  </w:style>
  <w:style w:type="paragraph" w:styleId="23">
    <w:name w:val="index 2"/>
    <w:basedOn w:val="11"/>
    <w:semiHidden/>
    <w:pPr>
      <w:ind w:left="284"/>
    </w:pPr>
  </w:style>
  <w:style w:type="paragraph" w:styleId="TOC8">
    <w:name w:val="toc 8"/>
    <w:basedOn w:val="TOC1"/>
    <w:semiHidden/>
    <w:pPr>
      <w:spacing w:before="180"/>
      <w:ind w:left="2693" w:hanging="2693"/>
    </w:pPr>
    <w:rPr>
      <w:b w:val="0"/>
      <w:bCs/>
    </w:rPr>
  </w:style>
  <w:style w:type="paragraph" w:styleId="20">
    <w:name w:val="List Bullet 2"/>
    <w:basedOn w:val="a"/>
    <w:pPr>
      <w:numPr>
        <w:numId w:val="8"/>
      </w:numPr>
      <w:tabs>
        <w:tab w:val="left" w:pos="510"/>
        <w:tab w:val="left" w:pos="794"/>
      </w:tabs>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TOC3">
    <w:name w:val="toc 3"/>
    <w:basedOn w:val="TOC2"/>
    <w:semiHidden/>
    <w:pPr>
      <w:ind w:left="1134" w:hanging="1134"/>
    </w:pPr>
  </w:style>
  <w:style w:type="paragraph" w:customStyle="1" w:styleId="B2">
    <w:name w:val="B2"/>
    <w:basedOn w:val="22"/>
    <w:link w:val="B2Char"/>
    <w:qFormat/>
    <w:pPr>
      <w:spacing w:after="180"/>
      <w:jc w:val="left"/>
    </w:pPr>
    <w:rPr>
      <w:lang w:eastAsia="en-US"/>
    </w:rPr>
  </w:style>
  <w:style w:type="paragraph" w:styleId="TOC6">
    <w:name w:val="toc 6"/>
    <w:basedOn w:val="TOC5"/>
    <w:next w:val="a0"/>
    <w:semiHidden/>
    <w:pPr>
      <w:ind w:left="1985" w:hanging="1985"/>
    </w:pPr>
  </w:style>
  <w:style w:type="paragraph" w:styleId="afa">
    <w:name w:val="footnote text"/>
    <w:basedOn w:val="a0"/>
    <w:semiHidden/>
    <w:pPr>
      <w:keepLines/>
      <w:spacing w:after="0"/>
      <w:ind w:left="454" w:hanging="454"/>
    </w:pPr>
    <w:rPr>
      <w:sz w:val="16"/>
      <w:szCs w:val="16"/>
    </w:rPr>
  </w:style>
  <w:style w:type="paragraph" w:customStyle="1" w:styleId="Proposal">
    <w:name w:val="Proposal"/>
    <w:basedOn w:val="a0"/>
    <w:pPr>
      <w:numPr>
        <w:numId w:val="9"/>
      </w:numPr>
      <w:tabs>
        <w:tab w:val="left" w:pos="1304"/>
        <w:tab w:val="left" w:pos="1701"/>
      </w:tabs>
    </w:pPr>
    <w:rPr>
      <w:b/>
      <w:bCs/>
    </w:rPr>
  </w:style>
  <w:style w:type="paragraph" w:styleId="11">
    <w:name w:val="index 1"/>
    <w:basedOn w:val="a0"/>
    <w:semiHidden/>
    <w:pPr>
      <w:keepLines/>
      <w:spacing w:after="0"/>
    </w:pPr>
  </w:style>
  <w:style w:type="paragraph" w:customStyle="1" w:styleId="Reference">
    <w:name w:val="Reference"/>
    <w:basedOn w:val="a0"/>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styleId="TOC5">
    <w:name w:val="toc 5"/>
    <w:basedOn w:val="TOC4"/>
    <w:semiHidden/>
    <w:pPr>
      <w:tabs>
        <w:tab w:val="right" w:pos="1701"/>
      </w:tabs>
      <w:ind w:left="1701" w:hanging="1701"/>
    </w:pPr>
  </w:style>
  <w:style w:type="paragraph" w:styleId="TOC9">
    <w:name w:val="toc 9"/>
    <w:basedOn w:val="TOC8"/>
    <w:semiHidden/>
    <w:pPr>
      <w:ind w:left="1418" w:hanging="1418"/>
    </w:pPr>
  </w:style>
  <w:style w:type="paragraph" w:styleId="a7">
    <w:name w:val="footer"/>
    <w:basedOn w:val="ae"/>
    <w:link w:val="a6"/>
    <w:uiPriority w:val="99"/>
    <w:qFormat/>
    <w:pPr>
      <w:jc w:val="center"/>
    </w:pPr>
    <w:rPr>
      <w:i/>
      <w:iC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pPr>
      <w:spacing w:after="180"/>
      <w:jc w:val="left"/>
    </w:pPr>
    <w:rPr>
      <w:lang w:eastAsia="en-US"/>
    </w:rPr>
  </w:style>
  <w:style w:type="paragraph" w:customStyle="1" w:styleId="TAN">
    <w:name w:val="TAN"/>
    <w:basedOn w:val="TAL"/>
    <w:pPr>
      <w:ind w:left="851" w:hanging="851"/>
    </w:pPr>
  </w:style>
  <w:style w:type="paragraph" w:customStyle="1" w:styleId="TH">
    <w:name w:val="TH"/>
    <w:basedOn w:val="a0"/>
    <w:link w:val="THChar"/>
    <w:pPr>
      <w:keepNext/>
      <w:keepLines/>
      <w:spacing w:before="60" w:after="180"/>
      <w:jc w:val="center"/>
    </w:pPr>
    <w:rPr>
      <w:b/>
      <w:lang w:eastAsia="en-US"/>
    </w:rPr>
  </w:style>
  <w:style w:type="paragraph" w:styleId="a9">
    <w:name w:val="List Paragraph"/>
    <w:basedOn w:val="a0"/>
    <w:link w:val="a8"/>
    <w:uiPriority w:val="34"/>
    <w:qFormat/>
    <w:pPr>
      <w:ind w:left="720"/>
      <w:contextualSpacing/>
    </w:pPr>
  </w:style>
  <w:style w:type="table" w:styleId="a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8A5C4-285A-4C4F-ADFE-3F8814CE24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BE6BD4-F192-484E-AA1B-6FB1BCC68B1A}">
  <ds:schemaRefs>
    <ds:schemaRef ds:uri="http://schemas.microsoft.com/sharepoint/v3/contenttype/forms"/>
  </ds:schemaRefs>
</ds:datastoreItem>
</file>

<file path=customXml/itemProps3.xml><?xml version="1.0" encoding="utf-8"?>
<ds:datastoreItem xmlns:ds="http://schemas.openxmlformats.org/officeDocument/2006/customXml" ds:itemID="{B4F8219D-5F43-4495-A438-916C04609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2</TotalTime>
  <Pages>5</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cp:keywords>
  <cp:lastModifiedBy>OPPO-Qianxi</cp:lastModifiedBy>
  <cp:revision>4</cp:revision>
  <cp:lastPrinted>2008-01-31T07:09:00Z</cp:lastPrinted>
  <dcterms:created xsi:type="dcterms:W3CDTF">2020-03-02T08:15:00Z</dcterms:created>
  <dcterms:modified xsi:type="dcterms:W3CDTF">2020-03-03T09:32:00Z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1582598346</vt:lpwstr>
  </property>
  <property fmtid="{D5CDD505-2E9C-101B-9397-08002B2CF9AE}" pid="7" name="KSOProductBuildVer">
    <vt:lpwstr>2052-10.8.2.6613</vt:lpwstr>
  </property>
  <property fmtid="{D5CDD505-2E9C-101B-9397-08002B2CF9AE}" pid="8" name="Sign-off status">
    <vt:lpwstr/>
  </property>
  <property fmtid="{D5CDD505-2E9C-101B-9397-08002B2CF9AE}" pid="9" name="ContentTypeId">
    <vt:lpwstr>0x0101003AA7AC0C743A294CADF60F661720E3E6</vt:lpwstr>
  </property>
</Properties>
</file>